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48E" w14:textId="77777777" w:rsidR="00CD20D1" w:rsidRPr="00403E4C" w:rsidRDefault="00B73385" w:rsidP="008B0589">
      <w:pPr>
        <w:jc w:val="center"/>
        <w:rPr>
          <w:rFonts w:ascii="Palatino Linotype" w:hAnsi="Palatino Linotype"/>
          <w:b/>
          <w:sz w:val="48"/>
          <w:szCs w:val="48"/>
        </w:rPr>
      </w:pPr>
      <w:r w:rsidRPr="00403E4C">
        <w:rPr>
          <w:rFonts w:ascii="Palatino Linotype" w:hAnsi="Palatino Linotype"/>
          <w:b/>
          <w:sz w:val="48"/>
          <w:szCs w:val="48"/>
        </w:rPr>
        <w:t xml:space="preserve">Three Steps to </w:t>
      </w:r>
      <w:r w:rsidR="00CC1B4E" w:rsidRPr="00403E4C">
        <w:rPr>
          <w:rFonts w:ascii="Palatino Linotype" w:hAnsi="Palatino Linotype"/>
          <w:b/>
          <w:sz w:val="48"/>
          <w:szCs w:val="48"/>
        </w:rPr>
        <w:t xml:space="preserve">Select Classes at the University </w:t>
      </w:r>
      <w:r w:rsidR="007D6CE5" w:rsidRPr="00403E4C">
        <w:rPr>
          <w:rFonts w:ascii="Palatino Linotype" w:hAnsi="Palatino Linotype"/>
          <w:b/>
          <w:sz w:val="48"/>
          <w:szCs w:val="48"/>
        </w:rPr>
        <w:t xml:space="preserve">of </w:t>
      </w:r>
      <w:r w:rsidR="002418C0" w:rsidRPr="00403E4C">
        <w:rPr>
          <w:rFonts w:ascii="Palatino Linotype" w:hAnsi="Palatino Linotype"/>
          <w:b/>
          <w:sz w:val="48"/>
          <w:szCs w:val="48"/>
        </w:rPr>
        <w:t>E</w:t>
      </w:r>
      <w:r w:rsidR="006259C2">
        <w:rPr>
          <w:rFonts w:ascii="Palatino Linotype" w:hAnsi="Palatino Linotype"/>
          <w:b/>
          <w:sz w:val="48"/>
          <w:szCs w:val="48"/>
        </w:rPr>
        <w:t>ssex</w:t>
      </w:r>
    </w:p>
    <w:p w14:paraId="4DDD7205" w14:textId="77777777" w:rsidR="00CC1B4E" w:rsidRPr="00403E4C" w:rsidRDefault="00CC1B4E">
      <w:pPr>
        <w:rPr>
          <w:rFonts w:ascii="Palatino Linotype" w:hAnsi="Palatino Linotype"/>
          <w:sz w:val="20"/>
          <w:szCs w:val="20"/>
        </w:rPr>
      </w:pPr>
    </w:p>
    <w:p w14:paraId="436BF9C4" w14:textId="77777777" w:rsidR="00F34EE5" w:rsidRPr="00403E4C" w:rsidRDefault="008C5870">
      <w:pPr>
        <w:rPr>
          <w:rFonts w:ascii="Palatino Linotype" w:hAnsi="Palatino Linotype"/>
          <w:b/>
          <w:sz w:val="28"/>
          <w:szCs w:val="28"/>
        </w:rPr>
      </w:pPr>
      <w:r w:rsidRPr="00403E4C">
        <w:rPr>
          <w:rFonts w:ascii="Palatino Linotype" w:hAnsi="Palatino Linotype"/>
          <w:b/>
          <w:sz w:val="28"/>
          <w:szCs w:val="28"/>
        </w:rPr>
        <w:t>1</w:t>
      </w:r>
      <w:r w:rsidR="00C65E6F" w:rsidRPr="00403E4C">
        <w:rPr>
          <w:rFonts w:ascii="Palatino Linotype" w:hAnsi="Palatino Linotype"/>
          <w:b/>
          <w:sz w:val="28"/>
          <w:szCs w:val="28"/>
        </w:rPr>
        <w:t>. Look at the University</w:t>
      </w:r>
      <w:r w:rsidR="00220FAD" w:rsidRPr="00403E4C">
        <w:rPr>
          <w:rFonts w:ascii="Palatino Linotype" w:hAnsi="Palatino Linotype"/>
          <w:b/>
          <w:sz w:val="28"/>
          <w:szCs w:val="28"/>
        </w:rPr>
        <w:t xml:space="preserve"> </w:t>
      </w:r>
      <w:r w:rsidR="007D6CE5" w:rsidRPr="00403E4C">
        <w:rPr>
          <w:rFonts w:ascii="Palatino Linotype" w:hAnsi="Palatino Linotype"/>
          <w:b/>
          <w:sz w:val="28"/>
          <w:szCs w:val="28"/>
        </w:rPr>
        <w:t xml:space="preserve">of </w:t>
      </w:r>
      <w:r w:rsidR="002418C0" w:rsidRPr="00403E4C">
        <w:rPr>
          <w:rFonts w:ascii="Palatino Linotype" w:hAnsi="Palatino Linotype"/>
          <w:b/>
          <w:sz w:val="28"/>
          <w:szCs w:val="28"/>
        </w:rPr>
        <w:t>E</w:t>
      </w:r>
      <w:r w:rsidR="00302D82">
        <w:rPr>
          <w:rFonts w:ascii="Palatino Linotype" w:hAnsi="Palatino Linotype"/>
          <w:b/>
          <w:sz w:val="28"/>
          <w:szCs w:val="28"/>
        </w:rPr>
        <w:t>ssex</w:t>
      </w:r>
      <w:r w:rsidR="007D6CE5" w:rsidRPr="00403E4C">
        <w:rPr>
          <w:rFonts w:ascii="Palatino Linotype" w:hAnsi="Palatino Linotype"/>
          <w:b/>
          <w:sz w:val="28"/>
          <w:szCs w:val="28"/>
        </w:rPr>
        <w:t>’s</w:t>
      </w:r>
      <w:r w:rsidR="00C65E6F" w:rsidRPr="00403E4C">
        <w:rPr>
          <w:rFonts w:ascii="Palatino Linotype" w:hAnsi="Palatino Linotype"/>
          <w:b/>
          <w:sz w:val="28"/>
          <w:szCs w:val="28"/>
        </w:rPr>
        <w:t xml:space="preserve"> list of classes at: </w:t>
      </w:r>
    </w:p>
    <w:p w14:paraId="2059A6C7" w14:textId="77777777" w:rsidR="00F34EE5" w:rsidRPr="002418C0" w:rsidRDefault="00F34EE5">
      <w:pPr>
        <w:rPr>
          <w:rFonts w:ascii="Palatino Linotype" w:hAnsi="Palatino Linotype"/>
          <w:sz w:val="20"/>
          <w:szCs w:val="20"/>
          <w:highlight w:val="yellow"/>
        </w:rPr>
      </w:pPr>
    </w:p>
    <w:p w14:paraId="2A5FDA37" w14:textId="77777777" w:rsidR="00F34EE5" w:rsidRPr="002418C0" w:rsidRDefault="006259C2" w:rsidP="00F34EE5">
      <w:pPr>
        <w:jc w:val="center"/>
        <w:rPr>
          <w:rFonts w:ascii="Palatino Linotype" w:hAnsi="Palatino Linotype"/>
          <w:b/>
          <w:sz w:val="20"/>
          <w:szCs w:val="20"/>
          <w:highlight w:val="yellow"/>
        </w:rPr>
      </w:pPr>
      <w:r w:rsidRPr="006259C2">
        <w:rPr>
          <w:rFonts w:ascii="Palatino Linotype" w:hAnsi="Palatino Linotype"/>
          <w:b/>
          <w:sz w:val="20"/>
          <w:szCs w:val="20"/>
        </w:rPr>
        <w:t>http://www.essex.ac.uk/modules/Default.aspx</w:t>
      </w:r>
    </w:p>
    <w:p w14:paraId="3A43331E" w14:textId="77777777" w:rsidR="00F34EE5" w:rsidRPr="002418C0" w:rsidRDefault="00F34EE5">
      <w:pPr>
        <w:rPr>
          <w:rFonts w:ascii="Palatino Linotype" w:hAnsi="Palatino Linotype"/>
          <w:sz w:val="20"/>
          <w:szCs w:val="20"/>
          <w:highlight w:val="yellow"/>
        </w:rPr>
      </w:pPr>
    </w:p>
    <w:p w14:paraId="3F0CD626" w14:textId="22A1B847" w:rsidR="00F9724D" w:rsidRDefault="006259C2" w:rsidP="0087759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Choose the relevant department from the drop-down menu</w:t>
      </w:r>
      <w:r w:rsidR="00F9724D">
        <w:rPr>
          <w:rFonts w:ascii="Palatino Linotype" w:hAnsi="Palatino Linotype"/>
          <w:sz w:val="20"/>
          <w:szCs w:val="20"/>
        </w:rPr>
        <w:t xml:space="preserve">, then select </w:t>
      </w:r>
      <w:r w:rsidR="00124A18">
        <w:rPr>
          <w:rFonts w:ascii="Palatino Linotype" w:hAnsi="Palatino Linotype"/>
          <w:sz w:val="20"/>
          <w:szCs w:val="20"/>
        </w:rPr>
        <w:t xml:space="preserve">the appropriate academic term from the three </w:t>
      </w:r>
      <w:r w:rsidR="00F9724D">
        <w:rPr>
          <w:rFonts w:ascii="Palatino Linotype" w:hAnsi="Palatino Linotype"/>
          <w:sz w:val="20"/>
          <w:szCs w:val="20"/>
        </w:rPr>
        <w:t xml:space="preserve">“include only </w:t>
      </w:r>
      <w:r w:rsidR="00124A18">
        <w:rPr>
          <w:rFonts w:ascii="Palatino Linotype" w:hAnsi="Palatino Linotype"/>
          <w:sz w:val="20"/>
          <w:szCs w:val="20"/>
        </w:rPr>
        <w:t>Incoming Essex Abroad…</w:t>
      </w:r>
      <w:r w:rsidR="00F9724D">
        <w:rPr>
          <w:rFonts w:ascii="Palatino Linotype" w:hAnsi="Palatino Linotype"/>
          <w:sz w:val="20"/>
          <w:szCs w:val="20"/>
        </w:rPr>
        <w:t>”</w:t>
      </w:r>
      <w:r w:rsidR="00124A18">
        <w:rPr>
          <w:rFonts w:ascii="Palatino Linotype" w:hAnsi="Palatino Linotype"/>
          <w:sz w:val="20"/>
          <w:szCs w:val="20"/>
        </w:rPr>
        <w:t xml:space="preserve"> options in the “Limit results to” drop-down menu</w:t>
      </w:r>
      <w:r w:rsidR="009D0675">
        <w:rPr>
          <w:rFonts w:ascii="Palatino Linotype" w:hAnsi="Palatino Linotype"/>
          <w:sz w:val="20"/>
          <w:szCs w:val="20"/>
        </w:rPr>
        <w:t xml:space="preserve">. Select “Colchester” from the “Campus” drop-down </w:t>
      </w:r>
      <w:proofErr w:type="gramStart"/>
      <w:r w:rsidR="009D0675">
        <w:rPr>
          <w:rFonts w:ascii="Palatino Linotype" w:hAnsi="Palatino Linotype"/>
          <w:sz w:val="20"/>
          <w:szCs w:val="20"/>
        </w:rPr>
        <w:t>menu</w:t>
      </w:r>
      <w:r w:rsidR="00F9724D">
        <w:rPr>
          <w:rFonts w:ascii="Palatino Linotype" w:hAnsi="Palatino Linotype"/>
          <w:sz w:val="20"/>
          <w:szCs w:val="20"/>
        </w:rPr>
        <w:t>, and</w:t>
      </w:r>
      <w:proofErr w:type="gramEnd"/>
      <w:r w:rsidR="00F9724D">
        <w:rPr>
          <w:rFonts w:ascii="Palatino Linotype" w:hAnsi="Palatino Linotype"/>
          <w:sz w:val="20"/>
          <w:szCs w:val="20"/>
        </w:rPr>
        <w:t xml:space="preserve"> click the “</w:t>
      </w:r>
      <w:r w:rsidR="00124A18">
        <w:rPr>
          <w:rFonts w:ascii="Palatino Linotype" w:hAnsi="Palatino Linotype"/>
          <w:sz w:val="20"/>
          <w:szCs w:val="20"/>
        </w:rPr>
        <w:t>search</w:t>
      </w:r>
      <w:r w:rsidR="00F9724D">
        <w:rPr>
          <w:rFonts w:ascii="Palatino Linotype" w:hAnsi="Palatino Linotype"/>
          <w:sz w:val="20"/>
          <w:szCs w:val="20"/>
        </w:rPr>
        <w:t xml:space="preserve">” button. </w:t>
      </w:r>
      <w:r w:rsidR="00F9724D" w:rsidRPr="004C6E2E">
        <w:rPr>
          <w:rFonts w:ascii="Palatino Linotype" w:hAnsi="Palatino Linotype"/>
          <w:sz w:val="20"/>
          <w:szCs w:val="20"/>
        </w:rPr>
        <w:t>Please review th</w:t>
      </w:r>
      <w:r w:rsidR="00F9724D">
        <w:rPr>
          <w:rFonts w:ascii="Palatino Linotype" w:hAnsi="Palatino Linotype"/>
          <w:sz w:val="20"/>
          <w:szCs w:val="20"/>
        </w:rPr>
        <w:t>e</w:t>
      </w:r>
      <w:r w:rsidR="00F9724D" w:rsidRPr="004C6E2E">
        <w:rPr>
          <w:rFonts w:ascii="Palatino Linotype" w:hAnsi="Palatino Linotype"/>
          <w:sz w:val="20"/>
          <w:szCs w:val="20"/>
        </w:rPr>
        <w:t xml:space="preserve"> </w:t>
      </w:r>
      <w:r w:rsidR="00F9724D">
        <w:rPr>
          <w:rFonts w:ascii="Palatino Linotype" w:hAnsi="Palatino Linotype"/>
          <w:sz w:val="20"/>
          <w:szCs w:val="20"/>
        </w:rPr>
        <w:t xml:space="preserve">department </w:t>
      </w:r>
      <w:r w:rsidR="00F9724D" w:rsidRPr="004C6E2E">
        <w:rPr>
          <w:rFonts w:ascii="Palatino Linotype" w:hAnsi="Palatino Linotype"/>
          <w:sz w:val="20"/>
          <w:szCs w:val="20"/>
        </w:rPr>
        <w:t xml:space="preserve">list </w:t>
      </w:r>
      <w:r w:rsidR="00F9724D">
        <w:rPr>
          <w:rFonts w:ascii="Palatino Linotype" w:hAnsi="Palatino Linotype"/>
          <w:sz w:val="20"/>
          <w:szCs w:val="20"/>
        </w:rPr>
        <w:t>carefully, as the relevant department titles may have changed (“Government” for Political Science, for example).</w:t>
      </w:r>
      <w:r w:rsidR="00F60135">
        <w:rPr>
          <w:rFonts w:ascii="Palatino Linotype" w:hAnsi="Palatino Linotype"/>
          <w:sz w:val="20"/>
          <w:szCs w:val="20"/>
        </w:rPr>
        <w:t xml:space="preserve"> </w:t>
      </w:r>
    </w:p>
    <w:p w14:paraId="6A8037E2" w14:textId="77777777" w:rsidR="00F9724D" w:rsidRDefault="00F9724D" w:rsidP="0087759D">
      <w:pPr>
        <w:rPr>
          <w:rFonts w:ascii="Palatino Linotype" w:hAnsi="Palatino Linotype"/>
          <w:sz w:val="20"/>
          <w:szCs w:val="20"/>
        </w:rPr>
      </w:pPr>
    </w:p>
    <w:p w14:paraId="53ECCF43" w14:textId="77777777" w:rsidR="00F9724D" w:rsidRDefault="00F9724D" w:rsidP="0087759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British universities use the term “Module” to describe an individual class. Each department’s list of modules will start with a long code number, which will tell you when the module is taught, and what academic level it represents.</w:t>
      </w:r>
    </w:p>
    <w:p w14:paraId="3ED82856" w14:textId="77777777" w:rsidR="00F9724D" w:rsidRDefault="00F9724D" w:rsidP="0087759D">
      <w:pPr>
        <w:rPr>
          <w:rFonts w:ascii="Palatino Linotype" w:hAnsi="Palatino Linotype"/>
          <w:sz w:val="20"/>
          <w:szCs w:val="20"/>
        </w:rPr>
      </w:pPr>
    </w:p>
    <w:p w14:paraId="059053C5" w14:textId="77777777" w:rsidR="00F9724D" w:rsidRDefault="00F9724D" w:rsidP="00F9724D">
      <w:pPr>
        <w:rPr>
          <w:rFonts w:ascii="Palatino Linotype" w:hAnsi="Palatino Linotype"/>
          <w:sz w:val="20"/>
          <w:szCs w:val="20"/>
        </w:rPr>
      </w:pPr>
      <w:r w:rsidRPr="00F9724D">
        <w:rPr>
          <w:rFonts w:ascii="Palatino Linotype" w:hAnsi="Palatino Linotype"/>
          <w:sz w:val="20"/>
          <w:szCs w:val="20"/>
        </w:rPr>
        <w:t xml:space="preserve">For example, </w:t>
      </w:r>
      <w:r w:rsidRPr="00F9724D">
        <w:rPr>
          <w:rFonts w:ascii="Palatino Linotype" w:hAnsi="Palatino Linotype"/>
          <w:b/>
          <w:bCs/>
          <w:sz w:val="20"/>
          <w:szCs w:val="20"/>
        </w:rPr>
        <w:t>HR100-4-FY</w:t>
      </w:r>
      <w:r w:rsidRPr="00F9724D">
        <w:rPr>
          <w:rFonts w:ascii="Palatino Linotype" w:hAnsi="Palatino Linotype"/>
          <w:sz w:val="20"/>
          <w:szCs w:val="20"/>
        </w:rPr>
        <w:t xml:space="preserve"> is a module in the History department (HR) at level 4 (typically first year undergraduate) which runs for the full year (FY).</w:t>
      </w:r>
    </w:p>
    <w:p w14:paraId="0CEA6EF5" w14:textId="77777777" w:rsidR="00F60135" w:rsidRPr="00F9724D" w:rsidRDefault="00F60135" w:rsidP="00F9724D">
      <w:pPr>
        <w:rPr>
          <w:rFonts w:ascii="Palatino Linotype" w:hAnsi="Palatino Linotype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99"/>
        <w:gridCol w:w="1316"/>
        <w:gridCol w:w="3091"/>
        <w:gridCol w:w="2858"/>
      </w:tblGrid>
      <w:tr w:rsidR="00F9724D" w:rsidRPr="00F9724D" w14:paraId="4AD6F5B8" w14:textId="77777777" w:rsidTr="00FC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AF5DEF" w14:textId="77777777" w:rsidR="00F9724D" w:rsidRPr="00F9724D" w:rsidRDefault="00F9724D" w:rsidP="00F9724D">
            <w:pPr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Dept Code</w:t>
            </w:r>
          </w:p>
        </w:tc>
        <w:tc>
          <w:tcPr>
            <w:tcW w:w="0" w:type="auto"/>
            <w:hideMark/>
          </w:tcPr>
          <w:p w14:paraId="1AB364C1" w14:textId="77777777" w:rsidR="00F9724D" w:rsidRPr="00F9724D" w:rsidRDefault="00F9724D" w:rsidP="00F9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Module No.</w:t>
            </w:r>
          </w:p>
        </w:tc>
        <w:tc>
          <w:tcPr>
            <w:tcW w:w="0" w:type="auto"/>
            <w:hideMark/>
          </w:tcPr>
          <w:p w14:paraId="6F2D0C2A" w14:textId="77777777" w:rsidR="00F9724D" w:rsidRPr="00F9724D" w:rsidRDefault="00F9724D" w:rsidP="00F9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New Level</w:t>
            </w:r>
          </w:p>
        </w:tc>
        <w:tc>
          <w:tcPr>
            <w:tcW w:w="0" w:type="auto"/>
            <w:hideMark/>
          </w:tcPr>
          <w:p w14:paraId="2E388F1C" w14:textId="77777777" w:rsidR="00F9724D" w:rsidRPr="00F9724D" w:rsidRDefault="00F9724D" w:rsidP="00F9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Period</w:t>
            </w:r>
          </w:p>
        </w:tc>
      </w:tr>
      <w:tr w:rsidR="00F9724D" w:rsidRPr="00F9724D" w14:paraId="0F2DD676" w14:textId="77777777" w:rsidTr="00FC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D77CD" w14:textId="77777777" w:rsidR="00F9724D" w:rsidRPr="00F9724D" w:rsidRDefault="00F9724D" w:rsidP="00F9724D">
            <w:pPr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HR</w:t>
            </w:r>
          </w:p>
        </w:tc>
        <w:tc>
          <w:tcPr>
            <w:tcW w:w="0" w:type="auto"/>
            <w:hideMark/>
          </w:tcPr>
          <w:p w14:paraId="3B09B2CA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14:paraId="7E1CB583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3 = Undergraduate (Foundation)</w:t>
            </w:r>
          </w:p>
        </w:tc>
        <w:tc>
          <w:tcPr>
            <w:tcW w:w="0" w:type="auto"/>
            <w:hideMark/>
          </w:tcPr>
          <w:p w14:paraId="2E6C6365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b/>
                <w:bCs/>
                <w:sz w:val="20"/>
                <w:szCs w:val="20"/>
              </w:rPr>
              <w:t>FY</w:t>
            </w:r>
            <w:r w:rsidRPr="00F9724D">
              <w:rPr>
                <w:rFonts w:ascii="Palatino Linotype" w:hAnsi="Palatino Linotype"/>
                <w:sz w:val="20"/>
                <w:szCs w:val="20"/>
              </w:rPr>
              <w:t xml:space="preserve"> = Full Year</w:t>
            </w:r>
          </w:p>
        </w:tc>
      </w:tr>
      <w:tr w:rsidR="00F9724D" w:rsidRPr="00F9724D" w14:paraId="6B774C1A" w14:textId="77777777" w:rsidTr="00FC0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892C41" w14:textId="77777777" w:rsidR="00F9724D" w:rsidRPr="00F9724D" w:rsidRDefault="00F9724D" w:rsidP="00F9724D">
            <w:pPr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573AD13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1C3AEA9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b/>
                <w:bCs/>
                <w:sz w:val="20"/>
                <w:szCs w:val="20"/>
              </w:rPr>
              <w:t>4</w:t>
            </w:r>
            <w:r w:rsidRPr="00F9724D">
              <w:rPr>
                <w:rFonts w:ascii="Palatino Linotype" w:hAnsi="Palatino Linotype"/>
                <w:sz w:val="20"/>
                <w:szCs w:val="20"/>
              </w:rPr>
              <w:t xml:space="preserve"> = Undergraduate</w:t>
            </w:r>
          </w:p>
        </w:tc>
        <w:tc>
          <w:tcPr>
            <w:tcW w:w="0" w:type="auto"/>
            <w:hideMark/>
          </w:tcPr>
          <w:p w14:paraId="6B104D6D" w14:textId="49DC89B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 xml:space="preserve">AU </w:t>
            </w:r>
            <w:r w:rsidR="009D0675">
              <w:rPr>
                <w:rFonts w:ascii="Palatino Linotype" w:hAnsi="Palatino Linotype"/>
                <w:sz w:val="20"/>
                <w:szCs w:val="20"/>
              </w:rPr>
              <w:t>&amp; ZA</w:t>
            </w:r>
            <w:r w:rsidRPr="00F9724D">
              <w:rPr>
                <w:rFonts w:ascii="Palatino Linotype" w:hAnsi="Palatino Linotype"/>
                <w:sz w:val="20"/>
                <w:szCs w:val="20"/>
              </w:rPr>
              <w:t>= Autumn Term</w:t>
            </w:r>
          </w:p>
        </w:tc>
      </w:tr>
      <w:tr w:rsidR="00F9724D" w:rsidRPr="00F9724D" w14:paraId="709033BA" w14:textId="77777777" w:rsidTr="00FC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F64E0" w14:textId="77777777" w:rsidR="00F9724D" w:rsidRPr="00F9724D" w:rsidRDefault="00F9724D" w:rsidP="00F9724D">
            <w:pPr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5BDC0B7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B96F011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5 = Undergraduate</w:t>
            </w:r>
          </w:p>
        </w:tc>
        <w:tc>
          <w:tcPr>
            <w:tcW w:w="0" w:type="auto"/>
            <w:hideMark/>
          </w:tcPr>
          <w:p w14:paraId="58848FDF" w14:textId="30C916D9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 xml:space="preserve">SP </w:t>
            </w:r>
            <w:r w:rsidR="009D0675">
              <w:rPr>
                <w:rFonts w:ascii="Palatino Linotype" w:hAnsi="Palatino Linotype"/>
                <w:sz w:val="20"/>
                <w:szCs w:val="20"/>
              </w:rPr>
              <w:t>&amp; ZU</w:t>
            </w:r>
            <w:r w:rsidRPr="00F9724D">
              <w:rPr>
                <w:rFonts w:ascii="Palatino Linotype" w:hAnsi="Palatino Linotype"/>
                <w:sz w:val="20"/>
                <w:szCs w:val="20"/>
              </w:rPr>
              <w:t>= Spring Term</w:t>
            </w:r>
          </w:p>
        </w:tc>
      </w:tr>
      <w:tr w:rsidR="00F9724D" w:rsidRPr="00F9724D" w14:paraId="416971EA" w14:textId="77777777" w:rsidTr="00FC0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1D5EFA" w14:textId="77777777" w:rsidR="00F9724D" w:rsidRPr="00F9724D" w:rsidRDefault="00F9724D" w:rsidP="00F9724D">
            <w:pPr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CD19920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FEC4794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6 = Undergraduate</w:t>
            </w:r>
          </w:p>
        </w:tc>
        <w:tc>
          <w:tcPr>
            <w:tcW w:w="0" w:type="auto"/>
            <w:hideMark/>
          </w:tcPr>
          <w:p w14:paraId="6682C26B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AP = Autumn/Spring Terms</w:t>
            </w:r>
          </w:p>
        </w:tc>
      </w:tr>
      <w:tr w:rsidR="00F9724D" w:rsidRPr="00F9724D" w14:paraId="0EBC6806" w14:textId="77777777" w:rsidTr="00FC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43FF32" w14:textId="77777777" w:rsidR="00F9724D" w:rsidRPr="00F9724D" w:rsidRDefault="00F9724D" w:rsidP="00F9724D">
            <w:pPr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CA1C4D5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508E48B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7 = Taught Graduate</w:t>
            </w:r>
          </w:p>
        </w:tc>
        <w:tc>
          <w:tcPr>
            <w:tcW w:w="0" w:type="auto"/>
            <w:hideMark/>
          </w:tcPr>
          <w:p w14:paraId="41344EB6" w14:textId="77777777" w:rsidR="00F9724D" w:rsidRPr="00F9724D" w:rsidRDefault="00F9724D" w:rsidP="00F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PS = Spring/Summer Terms</w:t>
            </w:r>
          </w:p>
        </w:tc>
      </w:tr>
      <w:tr w:rsidR="00F9724D" w:rsidRPr="00F9724D" w14:paraId="1DF4E21E" w14:textId="77777777" w:rsidTr="00FC0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F61BA" w14:textId="77777777" w:rsidR="00F9724D" w:rsidRPr="00F9724D" w:rsidRDefault="00F9724D" w:rsidP="00F9724D">
            <w:pPr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6851B93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B7FABBF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BEC93F4" w14:textId="77777777" w:rsidR="00F9724D" w:rsidRPr="00F9724D" w:rsidRDefault="00F9724D" w:rsidP="00F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F9724D">
              <w:rPr>
                <w:rFonts w:ascii="Palatino Linotype" w:hAnsi="Palatino Linotype"/>
                <w:sz w:val="20"/>
                <w:szCs w:val="20"/>
              </w:rPr>
              <w:t>AS = Autumn/Summer Terms</w:t>
            </w:r>
          </w:p>
        </w:tc>
      </w:tr>
    </w:tbl>
    <w:p w14:paraId="569350A5" w14:textId="77777777" w:rsidR="00F9724D" w:rsidRDefault="00F9724D" w:rsidP="0087759D">
      <w:pPr>
        <w:rPr>
          <w:rFonts w:ascii="Palatino Linotype" w:hAnsi="Palatino Linotype"/>
          <w:sz w:val="20"/>
          <w:szCs w:val="20"/>
        </w:rPr>
      </w:pPr>
    </w:p>
    <w:p w14:paraId="61B65B2D" w14:textId="3A1A992F" w:rsidR="009D0675" w:rsidRDefault="009D0675" w:rsidP="00F9724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Students studying in Essex for only one semester should choose “ZA” modules for the fall semester, or “ZU” modules for the spring semester.</w:t>
      </w:r>
    </w:p>
    <w:p w14:paraId="29737904" w14:textId="77777777" w:rsidR="009D0675" w:rsidRDefault="009D0675" w:rsidP="00F9724D">
      <w:pPr>
        <w:rPr>
          <w:rFonts w:ascii="Palatino Linotype" w:hAnsi="Palatino Linotype"/>
          <w:sz w:val="20"/>
          <w:szCs w:val="20"/>
        </w:rPr>
      </w:pPr>
    </w:p>
    <w:p w14:paraId="6C89A92C" w14:textId="2D7E4F56" w:rsidR="00F9724D" w:rsidRDefault="00F9724D" w:rsidP="00F9724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It is the opinion of the KU Office of Study Abroad that Level 4 Essex modules are the equivalent of 100- and 200-level KU credit; Level 5 Essex modules are the equivalent of 300-level KU credit; Level 6 Essex modules are the equivalent of 500-level KU credit.  </w:t>
      </w:r>
      <w:r>
        <w:rPr>
          <w:rFonts w:ascii="Palatino Linotype" w:hAnsi="Palatino Linotype"/>
          <w:b/>
          <w:i/>
          <w:sz w:val="20"/>
          <w:szCs w:val="20"/>
        </w:rPr>
        <w:t>EACH KU ACADEMIC DEPARTMENT</w:t>
      </w:r>
      <w:r>
        <w:rPr>
          <w:rFonts w:ascii="Palatino Linotype" w:hAnsi="Palatino Linotype"/>
          <w:sz w:val="20"/>
          <w:szCs w:val="20"/>
        </w:rPr>
        <w:t xml:space="preserve"> makes its own determination of appropriate KU credit, and is within its rights to approve credit differently than per these suggestions. </w:t>
      </w:r>
    </w:p>
    <w:p w14:paraId="782BF803" w14:textId="77777777" w:rsidR="00F60135" w:rsidRDefault="00F60135" w:rsidP="00F9724D">
      <w:pPr>
        <w:rPr>
          <w:rFonts w:ascii="Palatino Linotype" w:hAnsi="Palatino Linotype"/>
          <w:sz w:val="20"/>
          <w:szCs w:val="20"/>
        </w:rPr>
      </w:pPr>
    </w:p>
    <w:p w14:paraId="49D6952F" w14:textId="77777777" w:rsidR="00F60135" w:rsidRPr="006C78F7" w:rsidRDefault="00F60135" w:rsidP="00F9724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Not every module listed in the Essex module catalog will be available to KU students</w:t>
      </w:r>
      <w:r w:rsidRPr="006C78F7">
        <w:rPr>
          <w:rFonts w:ascii="Palatino Linotype" w:hAnsi="Palatino Linotype"/>
          <w:sz w:val="20"/>
          <w:szCs w:val="20"/>
        </w:rPr>
        <w:t xml:space="preserve">. Click </w:t>
      </w:r>
      <w:r w:rsidR="006C78F7" w:rsidRPr="006C78F7">
        <w:rPr>
          <w:rFonts w:ascii="Palatino Linotype" w:hAnsi="Palatino Linotype"/>
          <w:sz w:val="20"/>
          <w:szCs w:val="20"/>
        </w:rPr>
        <w:t>on the link of a module you are interested in and check to see that “Yes” is indicated for the “Available to Study Abroad/Exchange Students” description.</w:t>
      </w:r>
    </w:p>
    <w:p w14:paraId="4825FCEC" w14:textId="03E40337" w:rsidR="00F9724D" w:rsidRDefault="00F9724D" w:rsidP="0087759D">
      <w:pPr>
        <w:rPr>
          <w:rFonts w:ascii="Palatino Linotype" w:hAnsi="Palatino Linotype"/>
          <w:sz w:val="20"/>
          <w:szCs w:val="20"/>
        </w:rPr>
      </w:pPr>
    </w:p>
    <w:p w14:paraId="5D5C04B5" w14:textId="2E2D88A5" w:rsidR="00FC0D19" w:rsidRDefault="00FC0D19" w:rsidP="0087759D">
      <w:pPr>
        <w:rPr>
          <w:rFonts w:ascii="Palatino Linotype" w:hAnsi="Palatino Linotype"/>
          <w:sz w:val="20"/>
          <w:szCs w:val="20"/>
        </w:rPr>
      </w:pPr>
    </w:p>
    <w:p w14:paraId="23DFE335" w14:textId="5F1C23BF" w:rsidR="00FC0D19" w:rsidRDefault="00FC0D19" w:rsidP="0087759D">
      <w:pPr>
        <w:rPr>
          <w:rFonts w:ascii="Palatino Linotype" w:hAnsi="Palatino Linotype"/>
          <w:sz w:val="20"/>
          <w:szCs w:val="20"/>
        </w:rPr>
      </w:pPr>
    </w:p>
    <w:p w14:paraId="559438C4" w14:textId="3252A400" w:rsidR="00FC0D19" w:rsidRDefault="00FC0D19" w:rsidP="0087759D">
      <w:pPr>
        <w:rPr>
          <w:rFonts w:ascii="Palatino Linotype" w:hAnsi="Palatino Linotype"/>
          <w:sz w:val="20"/>
          <w:szCs w:val="20"/>
        </w:rPr>
      </w:pPr>
    </w:p>
    <w:p w14:paraId="276A63F3" w14:textId="378933D9" w:rsidR="00FC0D19" w:rsidRDefault="00FC0D19" w:rsidP="0087759D">
      <w:pPr>
        <w:rPr>
          <w:rFonts w:ascii="Palatino Linotype" w:hAnsi="Palatino Linotype"/>
          <w:sz w:val="20"/>
          <w:szCs w:val="20"/>
        </w:rPr>
      </w:pPr>
    </w:p>
    <w:p w14:paraId="2596EC1E" w14:textId="77777777" w:rsidR="00FC0D19" w:rsidRDefault="00FC0D19" w:rsidP="0087759D">
      <w:pPr>
        <w:rPr>
          <w:rFonts w:ascii="Palatino Linotype" w:hAnsi="Palatino Linotype"/>
          <w:sz w:val="20"/>
          <w:szCs w:val="20"/>
        </w:rPr>
      </w:pPr>
    </w:p>
    <w:p w14:paraId="5A806A69" w14:textId="7745AFCC" w:rsidR="00FC0D19" w:rsidRDefault="00FC0D19" w:rsidP="0087759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Here is how Essex credits convert to Kansas credits:</w:t>
      </w:r>
    </w:p>
    <w:p w14:paraId="2973E5EE" w14:textId="77777777" w:rsidR="00FC0D19" w:rsidRPr="006C78F7" w:rsidRDefault="00FC0D19" w:rsidP="0087759D">
      <w:pPr>
        <w:rPr>
          <w:rFonts w:ascii="Palatino Linotype" w:hAnsi="Palatino Linotype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3510"/>
      </w:tblGrid>
      <w:tr w:rsidR="00FC0D19" w:rsidRPr="006C78F7" w14:paraId="5A9E3454" w14:textId="77777777" w:rsidTr="00FC0D19">
        <w:tc>
          <w:tcPr>
            <w:tcW w:w="3415" w:type="dxa"/>
            <w:hideMark/>
          </w:tcPr>
          <w:p w14:paraId="58A150B8" w14:textId="77777777" w:rsidR="00FC0D19" w:rsidRPr="006C78F7" w:rsidRDefault="00FC0D19" w:rsidP="00F601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Essex</w:t>
            </w:r>
          </w:p>
        </w:tc>
        <w:tc>
          <w:tcPr>
            <w:tcW w:w="3510" w:type="dxa"/>
            <w:hideMark/>
          </w:tcPr>
          <w:p w14:paraId="3FA290EA" w14:textId="77777777" w:rsidR="00FC0D19" w:rsidRPr="006C78F7" w:rsidRDefault="00FC0D1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Kansas</w:t>
            </w:r>
          </w:p>
        </w:tc>
      </w:tr>
      <w:tr w:rsidR="00FC0D19" w:rsidRPr="006C78F7" w14:paraId="24268EC3" w14:textId="77777777" w:rsidTr="00FC0D19">
        <w:tc>
          <w:tcPr>
            <w:tcW w:w="3415" w:type="dxa"/>
            <w:hideMark/>
          </w:tcPr>
          <w:p w14:paraId="787BF9C3" w14:textId="77777777" w:rsidR="00FC0D19" w:rsidRPr="006C78F7" w:rsidRDefault="00FC0D1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  <w:tc>
          <w:tcPr>
            <w:tcW w:w="3510" w:type="dxa"/>
            <w:hideMark/>
          </w:tcPr>
          <w:p w14:paraId="4729A833" w14:textId="77777777" w:rsidR="00FC0D19" w:rsidRPr="006C78F7" w:rsidRDefault="00FC0D1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</w:tr>
      <w:tr w:rsidR="00FC0D19" w:rsidRPr="006C78F7" w14:paraId="54F8ECB6" w14:textId="77777777" w:rsidTr="00FC0D19">
        <w:tc>
          <w:tcPr>
            <w:tcW w:w="3415" w:type="dxa"/>
            <w:hideMark/>
          </w:tcPr>
          <w:p w14:paraId="7E37C66E" w14:textId="77777777" w:rsidR="00FC0D19" w:rsidRPr="006C78F7" w:rsidRDefault="00FC0D19" w:rsidP="00F601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3510" w:type="dxa"/>
            <w:hideMark/>
          </w:tcPr>
          <w:p w14:paraId="3CC46239" w14:textId="77777777" w:rsidR="00FC0D19" w:rsidRPr="006C78F7" w:rsidRDefault="00FC0D1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7.5</w:t>
            </w:r>
          </w:p>
        </w:tc>
      </w:tr>
      <w:tr w:rsidR="00FC0D19" w:rsidRPr="006C78F7" w14:paraId="3C01190C" w14:textId="77777777" w:rsidTr="00FC0D19">
        <w:tc>
          <w:tcPr>
            <w:tcW w:w="3415" w:type="dxa"/>
            <w:hideMark/>
          </w:tcPr>
          <w:p w14:paraId="023F52D2" w14:textId="77777777" w:rsidR="00FC0D19" w:rsidRPr="006C78F7" w:rsidRDefault="00FC0D1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3510" w:type="dxa"/>
            <w:hideMark/>
          </w:tcPr>
          <w:p w14:paraId="52590426" w14:textId="77777777" w:rsidR="00FC0D19" w:rsidRPr="006C78F7" w:rsidRDefault="00FC0D1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78F7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</w:tbl>
    <w:p w14:paraId="112AB9C7" w14:textId="77777777" w:rsidR="00F9724D" w:rsidRPr="006C78F7" w:rsidRDefault="00F9724D" w:rsidP="0087759D">
      <w:pPr>
        <w:rPr>
          <w:rFonts w:ascii="Palatino Linotype" w:hAnsi="Palatino Linotype"/>
          <w:sz w:val="20"/>
          <w:szCs w:val="20"/>
        </w:rPr>
      </w:pPr>
    </w:p>
    <w:p w14:paraId="2F25C7A8" w14:textId="77777777" w:rsidR="00F9724D" w:rsidRDefault="00F60135" w:rsidP="0087759D">
      <w:pPr>
        <w:rPr>
          <w:rFonts w:ascii="Palatino Linotype" w:hAnsi="Palatino Linotype"/>
          <w:sz w:val="20"/>
          <w:szCs w:val="20"/>
        </w:rPr>
      </w:pPr>
      <w:r w:rsidRPr="006C78F7">
        <w:rPr>
          <w:rFonts w:ascii="Palatino Linotype" w:hAnsi="Palatino Linotype"/>
          <w:sz w:val="20"/>
          <w:szCs w:val="20"/>
        </w:rPr>
        <w:t xml:space="preserve">Most Essex modules are worth 15 Essex credits. </w:t>
      </w:r>
      <w:r w:rsidR="006C78F7" w:rsidRPr="006C78F7">
        <w:rPr>
          <w:rFonts w:ascii="Palatino Linotype" w:hAnsi="Palatino Linotype"/>
          <w:sz w:val="20"/>
          <w:szCs w:val="20"/>
        </w:rPr>
        <w:t>Each individual module listing will have the number of Essex credits for that module.</w:t>
      </w:r>
      <w:r w:rsidRPr="006C78F7">
        <w:rPr>
          <w:rFonts w:ascii="Palatino Linotype" w:hAnsi="Palatino Linotype"/>
          <w:sz w:val="20"/>
          <w:szCs w:val="20"/>
        </w:rPr>
        <w:t xml:space="preserve"> A typical semester for a KU student at Essex would consist of four 15-Essex credit modules.</w:t>
      </w:r>
    </w:p>
    <w:p w14:paraId="576952FE" w14:textId="77777777" w:rsidR="000B6727" w:rsidRPr="00CD7C39" w:rsidRDefault="000B6727" w:rsidP="000B6727">
      <w:pPr>
        <w:rPr>
          <w:rFonts w:ascii="Palatino Linotype" w:hAnsi="Palatino Linotype"/>
          <w:sz w:val="20"/>
          <w:szCs w:val="20"/>
        </w:rPr>
      </w:pPr>
    </w:p>
    <w:p w14:paraId="7EA1C7BD" w14:textId="77777777" w:rsidR="00A46F17" w:rsidRDefault="000B6727" w:rsidP="000B6727">
      <w:pPr>
        <w:rPr>
          <w:rFonts w:ascii="Palatino Linotype" w:hAnsi="Palatino Linotype"/>
          <w:sz w:val="20"/>
          <w:szCs w:val="20"/>
        </w:rPr>
      </w:pPr>
      <w:r w:rsidRPr="00CD7C39">
        <w:rPr>
          <w:rFonts w:ascii="Palatino Linotype" w:hAnsi="Palatino Linotype"/>
          <w:sz w:val="20"/>
          <w:szCs w:val="20"/>
        </w:rPr>
        <w:t>You may find that the relevant KU department will need to approve E</w:t>
      </w:r>
      <w:r w:rsidR="00F60135">
        <w:rPr>
          <w:rFonts w:ascii="Palatino Linotype" w:hAnsi="Palatino Linotype"/>
          <w:sz w:val="20"/>
          <w:szCs w:val="20"/>
        </w:rPr>
        <w:t>ssex</w:t>
      </w:r>
      <w:r w:rsidRPr="00CD7C39">
        <w:rPr>
          <w:rFonts w:ascii="Palatino Linotype" w:hAnsi="Palatino Linotype"/>
          <w:sz w:val="20"/>
          <w:szCs w:val="20"/>
        </w:rPr>
        <w:t xml:space="preserve"> classes as more than one KU class to total up to four </w:t>
      </w:r>
      <w:r w:rsidR="00F60135">
        <w:rPr>
          <w:rFonts w:ascii="Palatino Linotype" w:hAnsi="Palatino Linotype"/>
          <w:sz w:val="20"/>
          <w:szCs w:val="20"/>
        </w:rPr>
        <w:t xml:space="preserve">KU </w:t>
      </w:r>
      <w:r w:rsidRPr="00CD7C39">
        <w:rPr>
          <w:rFonts w:ascii="Palatino Linotype" w:hAnsi="Palatino Linotype"/>
          <w:sz w:val="20"/>
          <w:szCs w:val="20"/>
        </w:rPr>
        <w:t>credits</w:t>
      </w:r>
      <w:r w:rsidR="006C78F7">
        <w:rPr>
          <w:rFonts w:ascii="Palatino Linotype" w:hAnsi="Palatino Linotype"/>
          <w:sz w:val="20"/>
          <w:szCs w:val="20"/>
        </w:rPr>
        <w:t xml:space="preserve"> (3 KU credits + 1 KU credit is a common arrangement)</w:t>
      </w:r>
      <w:r w:rsidRPr="00CD7C39">
        <w:rPr>
          <w:rFonts w:ascii="Palatino Linotype" w:hAnsi="Palatino Linotype"/>
          <w:sz w:val="20"/>
          <w:szCs w:val="20"/>
        </w:rPr>
        <w:t>.  You can find examples of this on the E</w:t>
      </w:r>
      <w:r w:rsidR="00F60135">
        <w:rPr>
          <w:rFonts w:ascii="Palatino Linotype" w:hAnsi="Palatino Linotype"/>
          <w:sz w:val="20"/>
          <w:szCs w:val="20"/>
        </w:rPr>
        <w:t>ssex</w:t>
      </w:r>
      <w:r w:rsidRPr="00CD7C39">
        <w:rPr>
          <w:rFonts w:ascii="Palatino Linotype" w:hAnsi="Palatino Linotype"/>
          <w:sz w:val="20"/>
          <w:szCs w:val="20"/>
        </w:rPr>
        <w:t xml:space="preserve">/Kansas course equivalency list in the next section of this document.  </w:t>
      </w:r>
    </w:p>
    <w:p w14:paraId="1F78AC53" w14:textId="77777777" w:rsidR="00F60135" w:rsidRDefault="00F60135" w:rsidP="000B6727">
      <w:pPr>
        <w:rPr>
          <w:rFonts w:ascii="Palatino Linotype" w:hAnsi="Palatino Linotype"/>
          <w:sz w:val="20"/>
          <w:szCs w:val="20"/>
        </w:rPr>
      </w:pPr>
    </w:p>
    <w:p w14:paraId="7377BFFF" w14:textId="77777777" w:rsidR="008C5870" w:rsidRPr="00CD7C39" w:rsidRDefault="008C5870" w:rsidP="008C5870">
      <w:pPr>
        <w:rPr>
          <w:rFonts w:ascii="Palatino Linotype" w:hAnsi="Palatino Linotype"/>
          <w:b/>
          <w:sz w:val="28"/>
          <w:szCs w:val="28"/>
        </w:rPr>
      </w:pPr>
      <w:r w:rsidRPr="00CD7C39">
        <w:rPr>
          <w:rFonts w:ascii="Palatino Linotype" w:hAnsi="Palatino Linotype"/>
          <w:b/>
          <w:sz w:val="28"/>
          <w:szCs w:val="28"/>
        </w:rPr>
        <w:t xml:space="preserve">2. Learn </w:t>
      </w:r>
      <w:r w:rsidR="00124A18">
        <w:rPr>
          <w:rFonts w:ascii="Palatino Linotype" w:hAnsi="Palatino Linotype"/>
          <w:b/>
          <w:sz w:val="28"/>
          <w:szCs w:val="28"/>
        </w:rPr>
        <w:t>about</w:t>
      </w:r>
      <w:r w:rsidRPr="00CD7C39">
        <w:rPr>
          <w:rFonts w:ascii="Palatino Linotype" w:hAnsi="Palatino Linotype"/>
          <w:b/>
          <w:sz w:val="28"/>
          <w:szCs w:val="28"/>
        </w:rPr>
        <w:t xml:space="preserve"> </w:t>
      </w:r>
      <w:r w:rsidR="00CD7C39" w:rsidRPr="00CD7C39">
        <w:rPr>
          <w:rFonts w:ascii="Palatino Linotype" w:hAnsi="Palatino Linotype"/>
          <w:b/>
          <w:sz w:val="28"/>
          <w:szCs w:val="28"/>
        </w:rPr>
        <w:t>E</w:t>
      </w:r>
      <w:r w:rsidR="006C78F7">
        <w:rPr>
          <w:rFonts w:ascii="Palatino Linotype" w:hAnsi="Palatino Linotype"/>
          <w:b/>
          <w:sz w:val="28"/>
          <w:szCs w:val="28"/>
        </w:rPr>
        <w:t>ssex</w:t>
      </w:r>
      <w:r w:rsidRPr="00CD7C39">
        <w:rPr>
          <w:rFonts w:ascii="Palatino Linotype" w:hAnsi="Palatino Linotype"/>
          <w:b/>
          <w:sz w:val="28"/>
          <w:szCs w:val="28"/>
        </w:rPr>
        <w:t xml:space="preserve"> c</w:t>
      </w:r>
      <w:r w:rsidR="00124A18">
        <w:rPr>
          <w:rFonts w:ascii="Palatino Linotype" w:hAnsi="Palatino Linotype"/>
          <w:b/>
          <w:sz w:val="28"/>
          <w:szCs w:val="28"/>
        </w:rPr>
        <w:t>ourse equivalencies at</w:t>
      </w:r>
      <w:r w:rsidRPr="00CD7C39">
        <w:rPr>
          <w:rFonts w:ascii="Palatino Linotype" w:hAnsi="Palatino Linotype"/>
          <w:b/>
          <w:sz w:val="28"/>
          <w:szCs w:val="28"/>
        </w:rPr>
        <w:t>:</w:t>
      </w:r>
    </w:p>
    <w:p w14:paraId="540D7D4A" w14:textId="77777777" w:rsidR="008C5870" w:rsidRPr="00CD7C39" w:rsidRDefault="008C5870" w:rsidP="008C5870">
      <w:pPr>
        <w:rPr>
          <w:rFonts w:ascii="Palatino Linotype" w:hAnsi="Palatino Linotype"/>
          <w:sz w:val="20"/>
          <w:szCs w:val="20"/>
        </w:rPr>
      </w:pPr>
    </w:p>
    <w:p w14:paraId="248C7034" w14:textId="77777777" w:rsidR="00124A18" w:rsidRPr="007F63AB" w:rsidRDefault="00124A18" w:rsidP="00124A18">
      <w:pPr>
        <w:jc w:val="center"/>
        <w:rPr>
          <w:rFonts w:ascii="Palatino Linotype" w:hAnsi="Palatino Linotype"/>
          <w:b/>
          <w:sz w:val="20"/>
          <w:szCs w:val="20"/>
        </w:rPr>
      </w:pPr>
      <w:r w:rsidRPr="003F4B30">
        <w:rPr>
          <w:rFonts w:ascii="Palatino Linotype" w:hAnsi="Palatino Linotype"/>
          <w:b/>
          <w:sz w:val="20"/>
          <w:szCs w:val="20"/>
        </w:rPr>
        <w:t>http://studyabroad.ku.edu/course-equivalencies</w:t>
      </w:r>
    </w:p>
    <w:p w14:paraId="3AB93915" w14:textId="77777777" w:rsidR="008C5870" w:rsidRPr="00CD7C39" w:rsidRDefault="008C5870" w:rsidP="008C5870">
      <w:pPr>
        <w:rPr>
          <w:rFonts w:ascii="Palatino Linotype" w:hAnsi="Palatino Linotype"/>
          <w:sz w:val="20"/>
          <w:szCs w:val="20"/>
        </w:rPr>
      </w:pPr>
    </w:p>
    <w:p w14:paraId="6ECFAB53" w14:textId="77777777" w:rsidR="00124A18" w:rsidRDefault="00124A18" w:rsidP="00124A18">
      <w:pPr>
        <w:rPr>
          <w:rFonts w:ascii="Palatino Linotype" w:hAnsi="Palatino Linotype"/>
          <w:sz w:val="20"/>
          <w:szCs w:val="20"/>
        </w:rPr>
      </w:pPr>
      <w:r w:rsidRPr="00743CF2">
        <w:rPr>
          <w:rFonts w:ascii="Palatino Linotype" w:hAnsi="Palatino Linotype"/>
          <w:sz w:val="20"/>
          <w:szCs w:val="20"/>
        </w:rPr>
        <w:t>Type “</w:t>
      </w:r>
      <w:r>
        <w:rPr>
          <w:rFonts w:ascii="Palatino Linotype" w:hAnsi="Palatino Linotype"/>
          <w:sz w:val="20"/>
          <w:szCs w:val="20"/>
        </w:rPr>
        <w:t>Essex</w:t>
      </w:r>
      <w:r w:rsidRPr="00743CF2">
        <w:rPr>
          <w:rFonts w:ascii="Palatino Linotype" w:hAnsi="Palatino Linotype"/>
          <w:sz w:val="20"/>
          <w:szCs w:val="20"/>
        </w:rPr>
        <w:t xml:space="preserve">” in the search box to get a complete list of courses at </w:t>
      </w:r>
      <w:r>
        <w:rPr>
          <w:rFonts w:ascii="Palatino Linotype" w:hAnsi="Palatino Linotype"/>
          <w:sz w:val="20"/>
          <w:szCs w:val="20"/>
        </w:rPr>
        <w:t>the University of Essex</w:t>
      </w:r>
      <w:r w:rsidRPr="00743CF2">
        <w:rPr>
          <w:rFonts w:ascii="Palatino Linotype" w:hAnsi="Palatino Linotype"/>
          <w:sz w:val="20"/>
          <w:szCs w:val="20"/>
        </w:rPr>
        <w:t xml:space="preserve"> that are currently pre-approved for KU credit and courses that were approved for KU students in the past.</w:t>
      </w:r>
      <w:r>
        <w:rPr>
          <w:rFonts w:ascii="Palatino Linotype" w:hAnsi="Palatino Linotype"/>
          <w:sz w:val="20"/>
          <w:szCs w:val="20"/>
        </w:rPr>
        <w:t xml:space="preserve"> Clicking on the “Download to Excel” button after executing your search will provide additional details on the courses, such as which semester the course has been offered in the past.</w:t>
      </w:r>
    </w:p>
    <w:p w14:paraId="2FEC810B" w14:textId="77777777" w:rsidR="00124A18" w:rsidRDefault="00124A18" w:rsidP="00124A18">
      <w:pPr>
        <w:rPr>
          <w:rFonts w:ascii="Palatino Linotype" w:hAnsi="Palatino Linotype"/>
          <w:sz w:val="20"/>
          <w:szCs w:val="20"/>
        </w:rPr>
      </w:pPr>
    </w:p>
    <w:p w14:paraId="1F1F606F" w14:textId="77777777" w:rsidR="00124A18" w:rsidRPr="007F63AB" w:rsidRDefault="00124A18" w:rsidP="00124A18">
      <w:pPr>
        <w:rPr>
          <w:rFonts w:ascii="Palatino Linotype" w:hAnsi="Palatino Linotype"/>
          <w:sz w:val="20"/>
          <w:szCs w:val="20"/>
        </w:rPr>
      </w:pPr>
      <w:r w:rsidRPr="007F63AB">
        <w:rPr>
          <w:rFonts w:ascii="Palatino Linotype" w:hAnsi="Palatino Linotype"/>
          <w:sz w:val="20"/>
          <w:szCs w:val="20"/>
        </w:rPr>
        <w:t xml:space="preserve">Bear in mind that this list </w:t>
      </w:r>
      <w:r>
        <w:rPr>
          <w:rFonts w:ascii="Palatino Linotype" w:hAnsi="Palatino Linotype"/>
          <w:sz w:val="20"/>
          <w:szCs w:val="20"/>
        </w:rPr>
        <w:t xml:space="preserve">has “possible equivalency” and “approved equivalency” courses listed. “Possible equivalency” </w:t>
      </w:r>
      <w:r w:rsidRPr="007F63AB">
        <w:rPr>
          <w:rFonts w:ascii="Palatino Linotype" w:hAnsi="Palatino Linotype"/>
          <w:sz w:val="20"/>
          <w:szCs w:val="20"/>
        </w:rPr>
        <w:t xml:space="preserve">does not grant automatic approval for you.  You will need to get </w:t>
      </w:r>
      <w:r>
        <w:rPr>
          <w:rFonts w:ascii="Palatino Linotype" w:hAnsi="Palatino Linotype"/>
          <w:sz w:val="20"/>
          <w:szCs w:val="20"/>
        </w:rPr>
        <w:t xml:space="preserve">this type of Essex course </w:t>
      </w:r>
      <w:r w:rsidRPr="007F63AB">
        <w:rPr>
          <w:rFonts w:ascii="Palatino Linotype" w:hAnsi="Palatino Linotype"/>
          <w:sz w:val="20"/>
          <w:szCs w:val="20"/>
        </w:rPr>
        <w:t>approved for yourself</w:t>
      </w:r>
      <w:r>
        <w:rPr>
          <w:rFonts w:ascii="Palatino Linotype" w:hAnsi="Palatino Linotype"/>
          <w:sz w:val="20"/>
          <w:szCs w:val="20"/>
        </w:rPr>
        <w:t>, just as you will for Essex courses that do not appear in the course database</w:t>
      </w:r>
      <w:r w:rsidRPr="007F63AB">
        <w:rPr>
          <w:rFonts w:ascii="Palatino Linotype" w:hAnsi="Palatino Linotype"/>
          <w:sz w:val="20"/>
          <w:szCs w:val="20"/>
        </w:rPr>
        <w:t xml:space="preserve">.  Modules are only offered once each academic year, so be sure to check the </w:t>
      </w:r>
      <w:r>
        <w:rPr>
          <w:rFonts w:ascii="Palatino Linotype" w:hAnsi="Palatino Linotype"/>
          <w:sz w:val="20"/>
          <w:szCs w:val="20"/>
        </w:rPr>
        <w:t>Essex</w:t>
      </w:r>
      <w:r w:rsidRPr="007F63AB">
        <w:rPr>
          <w:rFonts w:ascii="Palatino Linotype" w:hAnsi="Palatino Linotype"/>
          <w:sz w:val="20"/>
          <w:szCs w:val="20"/>
        </w:rPr>
        <w:t xml:space="preserve"> module catalog on-line (Step 1 of this document) to make sure a module you like on the list is available during the semester you are studying abroad.  The </w:t>
      </w:r>
      <w:r>
        <w:rPr>
          <w:rFonts w:ascii="Palatino Linotype" w:hAnsi="Palatino Linotype"/>
          <w:sz w:val="20"/>
          <w:szCs w:val="20"/>
        </w:rPr>
        <w:t xml:space="preserve">course database </w:t>
      </w:r>
      <w:r w:rsidRPr="007F63AB">
        <w:rPr>
          <w:rFonts w:ascii="Palatino Linotype" w:hAnsi="Palatino Linotype"/>
          <w:sz w:val="20"/>
          <w:szCs w:val="20"/>
        </w:rPr>
        <w:t xml:space="preserve">is NOT A COMPLETE LIST of what you could take at </w:t>
      </w:r>
      <w:r>
        <w:rPr>
          <w:rFonts w:ascii="Palatino Linotype" w:hAnsi="Palatino Linotype"/>
          <w:sz w:val="20"/>
          <w:szCs w:val="20"/>
        </w:rPr>
        <w:t>Essex</w:t>
      </w:r>
      <w:r w:rsidRPr="007F63AB">
        <w:rPr>
          <w:rFonts w:ascii="Palatino Linotype" w:hAnsi="Palatino Linotype"/>
          <w:sz w:val="20"/>
          <w:szCs w:val="20"/>
        </w:rPr>
        <w:t>.  It is only a list of what KU students have gotten approved in the past.</w:t>
      </w:r>
    </w:p>
    <w:p w14:paraId="11C34936" w14:textId="77777777" w:rsidR="00124A18" w:rsidRPr="007F63AB" w:rsidRDefault="00124A18" w:rsidP="00124A18">
      <w:pPr>
        <w:rPr>
          <w:rFonts w:ascii="Palatino Linotype" w:hAnsi="Palatino Linotype"/>
          <w:sz w:val="20"/>
          <w:szCs w:val="20"/>
        </w:rPr>
      </w:pPr>
    </w:p>
    <w:p w14:paraId="0BDC49A7" w14:textId="77777777" w:rsidR="008C5870" w:rsidRPr="00CD7C39" w:rsidRDefault="00124A18" w:rsidP="00124A18">
      <w:pPr>
        <w:rPr>
          <w:rFonts w:ascii="Palatino Linotype" w:hAnsi="Palatino Linotype"/>
          <w:sz w:val="20"/>
          <w:szCs w:val="20"/>
        </w:rPr>
      </w:pPr>
      <w:r w:rsidRPr="007F63AB">
        <w:rPr>
          <w:rFonts w:ascii="Palatino Linotype" w:hAnsi="Palatino Linotype"/>
          <w:sz w:val="20"/>
          <w:szCs w:val="20"/>
        </w:rPr>
        <w:t xml:space="preserve">If a module you found </w:t>
      </w:r>
      <w:r>
        <w:rPr>
          <w:rFonts w:ascii="Palatino Linotype" w:hAnsi="Palatino Linotype"/>
          <w:sz w:val="20"/>
          <w:szCs w:val="20"/>
        </w:rPr>
        <w:t>in the course database</w:t>
      </w:r>
      <w:r w:rsidRPr="007F63AB">
        <w:rPr>
          <w:rFonts w:ascii="Palatino Linotype" w:hAnsi="Palatino Linotype"/>
          <w:sz w:val="20"/>
          <w:szCs w:val="20"/>
        </w:rPr>
        <w:t xml:space="preserve"> is not on the </w:t>
      </w:r>
      <w:r>
        <w:rPr>
          <w:rFonts w:ascii="Palatino Linotype" w:hAnsi="Palatino Linotype"/>
          <w:sz w:val="20"/>
          <w:szCs w:val="20"/>
        </w:rPr>
        <w:t>Essex</w:t>
      </w:r>
      <w:r w:rsidRPr="007F63AB">
        <w:rPr>
          <w:rFonts w:ascii="Palatino Linotype" w:hAnsi="Palatino Linotype"/>
          <w:sz w:val="20"/>
          <w:szCs w:val="20"/>
        </w:rPr>
        <w:t xml:space="preserve"> module catalog website, that module is either not being offered</w:t>
      </w:r>
      <w:r>
        <w:rPr>
          <w:rFonts w:ascii="Palatino Linotype" w:hAnsi="Palatino Linotype"/>
          <w:sz w:val="20"/>
          <w:szCs w:val="20"/>
        </w:rPr>
        <w:t xml:space="preserve"> now</w:t>
      </w:r>
      <w:r w:rsidRPr="007F63AB">
        <w:rPr>
          <w:rFonts w:ascii="Palatino Linotype" w:hAnsi="Palatino Linotype"/>
          <w:sz w:val="20"/>
          <w:szCs w:val="20"/>
        </w:rPr>
        <w:t>, or is unavailable to study abroad students.</w:t>
      </w:r>
    </w:p>
    <w:p w14:paraId="1D024584" w14:textId="77777777" w:rsidR="008C5870" w:rsidRPr="00CD7C39" w:rsidRDefault="008C5870">
      <w:pPr>
        <w:rPr>
          <w:rFonts w:ascii="Palatino Linotype" w:hAnsi="Palatino Linotype"/>
          <w:sz w:val="20"/>
          <w:szCs w:val="20"/>
        </w:rPr>
      </w:pPr>
    </w:p>
    <w:p w14:paraId="7B31951E" w14:textId="77777777" w:rsidR="00F34EE5" w:rsidRPr="00CD7C39" w:rsidRDefault="00F34EE5">
      <w:pPr>
        <w:rPr>
          <w:rFonts w:ascii="Palatino Linotype" w:hAnsi="Palatino Linotype"/>
          <w:b/>
          <w:sz w:val="28"/>
          <w:szCs w:val="28"/>
        </w:rPr>
      </w:pPr>
      <w:r w:rsidRPr="00CD7C39">
        <w:rPr>
          <w:rFonts w:ascii="Palatino Linotype" w:hAnsi="Palatino Linotype"/>
          <w:b/>
          <w:sz w:val="28"/>
          <w:szCs w:val="28"/>
        </w:rPr>
        <w:t xml:space="preserve">3. Bring </w:t>
      </w:r>
      <w:r w:rsidR="00DF7CB2" w:rsidRPr="00CD7C39">
        <w:rPr>
          <w:rFonts w:ascii="Palatino Linotype" w:hAnsi="Palatino Linotype"/>
          <w:b/>
          <w:sz w:val="28"/>
          <w:szCs w:val="28"/>
        </w:rPr>
        <w:t>course</w:t>
      </w:r>
      <w:r w:rsidRPr="00CD7C39">
        <w:rPr>
          <w:rFonts w:ascii="Palatino Linotype" w:hAnsi="Palatino Linotype"/>
          <w:b/>
          <w:sz w:val="28"/>
          <w:szCs w:val="28"/>
        </w:rPr>
        <w:t xml:space="preserve"> descriptions and/or syllabi for the </w:t>
      </w:r>
      <w:r w:rsidR="00CD7C39" w:rsidRPr="00CD7C39">
        <w:rPr>
          <w:rFonts w:ascii="Palatino Linotype" w:hAnsi="Palatino Linotype"/>
          <w:b/>
          <w:sz w:val="28"/>
          <w:szCs w:val="28"/>
        </w:rPr>
        <w:t>E</w:t>
      </w:r>
      <w:r w:rsidR="006C78F7">
        <w:rPr>
          <w:rFonts w:ascii="Palatino Linotype" w:hAnsi="Palatino Linotype"/>
          <w:b/>
          <w:sz w:val="28"/>
          <w:szCs w:val="28"/>
        </w:rPr>
        <w:t>sse</w:t>
      </w:r>
      <w:r w:rsidR="00CD7C39" w:rsidRPr="00CD7C39">
        <w:rPr>
          <w:rFonts w:ascii="Palatino Linotype" w:hAnsi="Palatino Linotype"/>
          <w:b/>
          <w:sz w:val="28"/>
          <w:szCs w:val="28"/>
        </w:rPr>
        <w:t>x</w:t>
      </w:r>
      <w:r w:rsidRPr="00CD7C39">
        <w:rPr>
          <w:rFonts w:ascii="Palatino Linotype" w:hAnsi="Palatino Linotype"/>
          <w:b/>
          <w:sz w:val="28"/>
          <w:szCs w:val="28"/>
        </w:rPr>
        <w:t xml:space="preserve"> modules you are interested in taking to the relevant KU faculty study abroad advisor.  A list of these advisors can be found at: </w:t>
      </w:r>
    </w:p>
    <w:p w14:paraId="38329AA2" w14:textId="77777777" w:rsidR="00F34EE5" w:rsidRPr="00CD7C39" w:rsidRDefault="00F34EE5">
      <w:pPr>
        <w:rPr>
          <w:rFonts w:ascii="Palatino Linotype" w:hAnsi="Palatino Linotype"/>
          <w:sz w:val="20"/>
          <w:szCs w:val="20"/>
        </w:rPr>
      </w:pPr>
    </w:p>
    <w:p w14:paraId="086300B6" w14:textId="77777777" w:rsidR="00833A7C" w:rsidRPr="00CD7C39" w:rsidRDefault="0035437F" w:rsidP="00833A7C">
      <w:pPr>
        <w:jc w:val="center"/>
        <w:rPr>
          <w:rFonts w:ascii="Palatino Linotype" w:hAnsi="Palatino Linotype"/>
          <w:b/>
          <w:sz w:val="20"/>
          <w:szCs w:val="20"/>
        </w:rPr>
      </w:pPr>
      <w:r w:rsidRPr="0035437F">
        <w:rPr>
          <w:rFonts w:ascii="Palatino Linotype" w:hAnsi="Palatino Linotype"/>
          <w:b/>
          <w:sz w:val="20"/>
          <w:szCs w:val="20"/>
        </w:rPr>
        <w:t>https://ku.studioabroad.com/?go=FacultyDeptAdvisorList</w:t>
      </w:r>
    </w:p>
    <w:p w14:paraId="591F0102" w14:textId="77777777" w:rsidR="00F34EE5" w:rsidRPr="00CD7C39" w:rsidRDefault="00F34EE5">
      <w:pPr>
        <w:rPr>
          <w:rFonts w:ascii="Palatino Linotype" w:hAnsi="Palatino Linotype"/>
          <w:sz w:val="20"/>
          <w:szCs w:val="20"/>
        </w:rPr>
      </w:pPr>
    </w:p>
    <w:p w14:paraId="1576A117" w14:textId="77777777" w:rsidR="008C5870" w:rsidRPr="00CD7C39" w:rsidRDefault="00F34EE5">
      <w:pPr>
        <w:rPr>
          <w:rFonts w:ascii="Palatino Linotype" w:hAnsi="Palatino Linotype"/>
          <w:sz w:val="20"/>
          <w:szCs w:val="20"/>
        </w:rPr>
      </w:pPr>
      <w:r w:rsidRPr="00CD7C39">
        <w:rPr>
          <w:rFonts w:ascii="Palatino Linotype" w:hAnsi="Palatino Linotype"/>
          <w:sz w:val="20"/>
          <w:szCs w:val="20"/>
        </w:rPr>
        <w:t xml:space="preserve">Some advisors may require that you schedule an appointment.  Some may need a few days to review your materials.  Please start making arrangements to get modules approved as soon as you can, as the process can take </w:t>
      </w:r>
      <w:r w:rsidR="004D0DB9" w:rsidRPr="00CD7C39">
        <w:rPr>
          <w:rFonts w:ascii="Palatino Linotype" w:hAnsi="Palatino Linotype"/>
          <w:sz w:val="20"/>
          <w:szCs w:val="20"/>
        </w:rPr>
        <w:t xml:space="preserve">some time.  </w:t>
      </w:r>
      <w:r w:rsidR="008C5870" w:rsidRPr="00CD7C39">
        <w:rPr>
          <w:rFonts w:ascii="Palatino Linotype" w:hAnsi="Palatino Linotype"/>
          <w:sz w:val="20"/>
          <w:szCs w:val="20"/>
        </w:rPr>
        <w:t xml:space="preserve">Be sure to bring along a copy of your </w:t>
      </w:r>
      <w:r w:rsidR="00037AAA" w:rsidRPr="00CD7C39">
        <w:rPr>
          <w:rFonts w:ascii="Palatino Linotype" w:hAnsi="Palatino Linotype"/>
          <w:sz w:val="20"/>
          <w:szCs w:val="20"/>
        </w:rPr>
        <w:t>KU Advising Report</w:t>
      </w:r>
      <w:r w:rsidR="008C5870" w:rsidRPr="00CD7C39">
        <w:rPr>
          <w:rFonts w:ascii="Palatino Linotype" w:hAnsi="Palatino Linotype"/>
          <w:sz w:val="20"/>
          <w:szCs w:val="20"/>
        </w:rPr>
        <w:t xml:space="preserve"> to assist the advisor.  </w:t>
      </w:r>
      <w:r w:rsidR="00EF3164" w:rsidRPr="00CD7C39">
        <w:rPr>
          <w:rFonts w:ascii="Palatino Linotype" w:hAnsi="Palatino Linotype"/>
          <w:sz w:val="20"/>
          <w:szCs w:val="20"/>
        </w:rPr>
        <w:t>Be familiar with your degree’s requirements.  The more prepared you are for meeting with an advisor, the easier it will be for the advisor to assist you.</w:t>
      </w:r>
    </w:p>
    <w:p w14:paraId="030EB066" w14:textId="77777777" w:rsidR="008C5870" w:rsidRPr="00CD7C39" w:rsidRDefault="008C5870">
      <w:pPr>
        <w:rPr>
          <w:rFonts w:ascii="Palatino Linotype" w:hAnsi="Palatino Linotype"/>
          <w:sz w:val="20"/>
          <w:szCs w:val="20"/>
        </w:rPr>
      </w:pPr>
    </w:p>
    <w:p w14:paraId="6591DFA4" w14:textId="77777777" w:rsidR="00833A7C" w:rsidRPr="00CD7C39" w:rsidRDefault="00833A7C" w:rsidP="00833A7C">
      <w:pPr>
        <w:rPr>
          <w:rFonts w:ascii="Palatino Linotype" w:hAnsi="Palatino Linotype"/>
          <w:sz w:val="20"/>
          <w:szCs w:val="20"/>
        </w:rPr>
      </w:pPr>
      <w:r w:rsidRPr="00CD7C39">
        <w:rPr>
          <w:rFonts w:ascii="Palatino Linotype" w:hAnsi="Palatino Linotype"/>
          <w:sz w:val="20"/>
          <w:szCs w:val="20"/>
        </w:rPr>
        <w:lastRenderedPageBreak/>
        <w:t>The form that needs to be completed by the advisor is part of the KU on-line study abroad application.  Copies can also be obtained from the OSA front desk.  Ask for the Academic Plan and Approval Form.</w:t>
      </w:r>
    </w:p>
    <w:p w14:paraId="283D8554" w14:textId="77777777" w:rsidR="00DC7630" w:rsidRPr="00CD7C39" w:rsidRDefault="00DC7630">
      <w:pPr>
        <w:rPr>
          <w:rFonts w:ascii="Palatino Linotype" w:hAnsi="Palatino Linotype"/>
          <w:sz w:val="20"/>
          <w:szCs w:val="20"/>
        </w:rPr>
      </w:pPr>
    </w:p>
    <w:p w14:paraId="5B309D76" w14:textId="77777777" w:rsidR="00DC7630" w:rsidRPr="008B0589" w:rsidRDefault="00DC7630">
      <w:pPr>
        <w:rPr>
          <w:rFonts w:ascii="Palatino Linotype" w:hAnsi="Palatino Linotype"/>
          <w:sz w:val="20"/>
          <w:szCs w:val="20"/>
        </w:rPr>
      </w:pPr>
      <w:r w:rsidRPr="00CD7C39">
        <w:rPr>
          <w:rFonts w:ascii="Palatino Linotype" w:hAnsi="Palatino Linotype"/>
          <w:sz w:val="20"/>
          <w:szCs w:val="20"/>
        </w:rPr>
        <w:t xml:space="preserve">It is always a good idea to get two or three alternate </w:t>
      </w:r>
      <w:r w:rsidR="00CD7C39" w:rsidRPr="00CD7C39">
        <w:rPr>
          <w:rFonts w:ascii="Palatino Linotype" w:hAnsi="Palatino Linotype"/>
          <w:sz w:val="20"/>
          <w:szCs w:val="20"/>
        </w:rPr>
        <w:t>E</w:t>
      </w:r>
      <w:r w:rsidR="006C78F7">
        <w:rPr>
          <w:rFonts w:ascii="Palatino Linotype" w:hAnsi="Palatino Linotype"/>
          <w:sz w:val="20"/>
          <w:szCs w:val="20"/>
        </w:rPr>
        <w:t>ssex</w:t>
      </w:r>
      <w:r w:rsidR="00C53D9C" w:rsidRPr="00CD7C39">
        <w:rPr>
          <w:rFonts w:ascii="Palatino Linotype" w:hAnsi="Palatino Linotype"/>
          <w:sz w:val="20"/>
          <w:szCs w:val="20"/>
        </w:rPr>
        <w:t xml:space="preserve"> modules</w:t>
      </w:r>
      <w:r w:rsidRPr="00CD7C39">
        <w:rPr>
          <w:rFonts w:ascii="Palatino Linotype" w:hAnsi="Palatino Linotype"/>
          <w:sz w:val="20"/>
          <w:szCs w:val="20"/>
        </w:rPr>
        <w:t xml:space="preserve"> approved.  </w:t>
      </w:r>
      <w:r w:rsidR="00CD7C39" w:rsidRPr="00CD7C39">
        <w:rPr>
          <w:rFonts w:ascii="Palatino Linotype" w:hAnsi="Palatino Linotype"/>
          <w:sz w:val="20"/>
          <w:szCs w:val="20"/>
        </w:rPr>
        <w:t>E</w:t>
      </w:r>
      <w:r w:rsidR="006C78F7">
        <w:rPr>
          <w:rFonts w:ascii="Palatino Linotype" w:hAnsi="Palatino Linotype"/>
          <w:sz w:val="20"/>
          <w:szCs w:val="20"/>
        </w:rPr>
        <w:t>ssex</w:t>
      </w:r>
      <w:r w:rsidRPr="00CD7C39">
        <w:rPr>
          <w:rFonts w:ascii="Palatino Linotype" w:hAnsi="Palatino Linotype"/>
          <w:sz w:val="20"/>
          <w:szCs w:val="20"/>
        </w:rPr>
        <w:t xml:space="preserve">’s semester timetables are not </w:t>
      </w:r>
      <w:r w:rsidR="00DF7CB2" w:rsidRPr="00CD7C39">
        <w:rPr>
          <w:rFonts w:ascii="Palatino Linotype" w:hAnsi="Palatino Linotype"/>
          <w:sz w:val="20"/>
          <w:szCs w:val="20"/>
        </w:rPr>
        <w:t xml:space="preserve">usually </w:t>
      </w:r>
      <w:r w:rsidRPr="00CD7C39">
        <w:rPr>
          <w:rFonts w:ascii="Palatino Linotype" w:hAnsi="Palatino Linotype"/>
          <w:sz w:val="20"/>
          <w:szCs w:val="20"/>
        </w:rPr>
        <w:t xml:space="preserve">released until just before the start of a semester, so you may encounter timetable clashes upon your arrival in </w:t>
      </w:r>
      <w:r w:rsidR="006C78F7">
        <w:rPr>
          <w:rFonts w:ascii="Palatino Linotype" w:hAnsi="Palatino Linotype"/>
          <w:sz w:val="20"/>
          <w:szCs w:val="20"/>
        </w:rPr>
        <w:t>Colchester</w:t>
      </w:r>
      <w:r w:rsidRPr="00CD7C39">
        <w:rPr>
          <w:rFonts w:ascii="Palatino Linotype" w:hAnsi="Palatino Linotype"/>
          <w:sz w:val="20"/>
          <w:szCs w:val="20"/>
        </w:rPr>
        <w:t xml:space="preserve">.  Having some alternate </w:t>
      </w:r>
      <w:r w:rsidR="00C53D9C" w:rsidRPr="00CD7C39">
        <w:rPr>
          <w:rFonts w:ascii="Palatino Linotype" w:hAnsi="Palatino Linotype"/>
          <w:sz w:val="20"/>
          <w:szCs w:val="20"/>
        </w:rPr>
        <w:t>modules</w:t>
      </w:r>
      <w:r w:rsidRPr="00CD7C39">
        <w:rPr>
          <w:rFonts w:ascii="Palatino Linotype" w:hAnsi="Palatino Linotype"/>
          <w:sz w:val="20"/>
          <w:szCs w:val="20"/>
        </w:rPr>
        <w:t xml:space="preserve"> already approved will make your </w:t>
      </w:r>
      <w:r w:rsidR="00CD7C39" w:rsidRPr="00CD7C39">
        <w:rPr>
          <w:rFonts w:ascii="Palatino Linotype" w:hAnsi="Palatino Linotype"/>
          <w:sz w:val="20"/>
          <w:szCs w:val="20"/>
        </w:rPr>
        <w:t>E</w:t>
      </w:r>
      <w:r w:rsidR="006C78F7">
        <w:rPr>
          <w:rFonts w:ascii="Palatino Linotype" w:hAnsi="Palatino Linotype"/>
          <w:sz w:val="20"/>
          <w:szCs w:val="20"/>
        </w:rPr>
        <w:t xml:space="preserve">ssex </w:t>
      </w:r>
      <w:r w:rsidRPr="00CD7C39">
        <w:rPr>
          <w:rFonts w:ascii="Palatino Linotype" w:hAnsi="Palatino Linotype"/>
          <w:sz w:val="20"/>
          <w:szCs w:val="20"/>
        </w:rPr>
        <w:t>module registration process much less stressful for you.</w:t>
      </w:r>
    </w:p>
    <w:sectPr w:rsidR="00DC7630" w:rsidRPr="008B0589" w:rsidSect="009D0675"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4E"/>
    <w:rsid w:val="00037AAA"/>
    <w:rsid w:val="00082426"/>
    <w:rsid w:val="000872A9"/>
    <w:rsid w:val="000B6727"/>
    <w:rsid w:val="000E7248"/>
    <w:rsid w:val="000F44DF"/>
    <w:rsid w:val="00116E8B"/>
    <w:rsid w:val="00124A18"/>
    <w:rsid w:val="00151E2C"/>
    <w:rsid w:val="00153764"/>
    <w:rsid w:val="001539DB"/>
    <w:rsid w:val="00163FCE"/>
    <w:rsid w:val="001A7D06"/>
    <w:rsid w:val="001A7F9F"/>
    <w:rsid w:val="002153AB"/>
    <w:rsid w:val="00220FAD"/>
    <w:rsid w:val="002418C0"/>
    <w:rsid w:val="002723DF"/>
    <w:rsid w:val="002C24C4"/>
    <w:rsid w:val="002F2B15"/>
    <w:rsid w:val="00302D82"/>
    <w:rsid w:val="0035437F"/>
    <w:rsid w:val="003801F6"/>
    <w:rsid w:val="003878B4"/>
    <w:rsid w:val="003A3939"/>
    <w:rsid w:val="003B05C0"/>
    <w:rsid w:val="003F396D"/>
    <w:rsid w:val="00403E4C"/>
    <w:rsid w:val="00405F21"/>
    <w:rsid w:val="00435394"/>
    <w:rsid w:val="004A3F10"/>
    <w:rsid w:val="004C1C89"/>
    <w:rsid w:val="004C6E2E"/>
    <w:rsid w:val="004D0DB9"/>
    <w:rsid w:val="004F30B4"/>
    <w:rsid w:val="00505390"/>
    <w:rsid w:val="00581C86"/>
    <w:rsid w:val="00617364"/>
    <w:rsid w:val="006259C2"/>
    <w:rsid w:val="006712D8"/>
    <w:rsid w:val="006724F3"/>
    <w:rsid w:val="00684B39"/>
    <w:rsid w:val="006A6E79"/>
    <w:rsid w:val="006C78F7"/>
    <w:rsid w:val="006F5A56"/>
    <w:rsid w:val="007637EA"/>
    <w:rsid w:val="007C0292"/>
    <w:rsid w:val="007C1D31"/>
    <w:rsid w:val="007D6CE5"/>
    <w:rsid w:val="00821FC9"/>
    <w:rsid w:val="00833A7C"/>
    <w:rsid w:val="00853E34"/>
    <w:rsid w:val="00857E5D"/>
    <w:rsid w:val="0087759D"/>
    <w:rsid w:val="008B0589"/>
    <w:rsid w:val="008C3AB2"/>
    <w:rsid w:val="008C5870"/>
    <w:rsid w:val="008C77B0"/>
    <w:rsid w:val="008E7AB2"/>
    <w:rsid w:val="008F4215"/>
    <w:rsid w:val="00926C18"/>
    <w:rsid w:val="00977084"/>
    <w:rsid w:val="00992E33"/>
    <w:rsid w:val="009A428C"/>
    <w:rsid w:val="009A7A5E"/>
    <w:rsid w:val="009B3711"/>
    <w:rsid w:val="009D0675"/>
    <w:rsid w:val="00A46F17"/>
    <w:rsid w:val="00A60E70"/>
    <w:rsid w:val="00A72988"/>
    <w:rsid w:val="00A877BB"/>
    <w:rsid w:val="00AA1854"/>
    <w:rsid w:val="00AB160A"/>
    <w:rsid w:val="00AD1025"/>
    <w:rsid w:val="00B5159F"/>
    <w:rsid w:val="00B630E8"/>
    <w:rsid w:val="00B73385"/>
    <w:rsid w:val="00B75A01"/>
    <w:rsid w:val="00BB4BB2"/>
    <w:rsid w:val="00C06E13"/>
    <w:rsid w:val="00C32C50"/>
    <w:rsid w:val="00C37D6C"/>
    <w:rsid w:val="00C44062"/>
    <w:rsid w:val="00C53D9C"/>
    <w:rsid w:val="00C65E6F"/>
    <w:rsid w:val="00CA0235"/>
    <w:rsid w:val="00CA195A"/>
    <w:rsid w:val="00CA757E"/>
    <w:rsid w:val="00CB5755"/>
    <w:rsid w:val="00CC1B4E"/>
    <w:rsid w:val="00CD20D1"/>
    <w:rsid w:val="00CD55DA"/>
    <w:rsid w:val="00CD7C39"/>
    <w:rsid w:val="00CE75D9"/>
    <w:rsid w:val="00D05BE1"/>
    <w:rsid w:val="00D324A1"/>
    <w:rsid w:val="00D35617"/>
    <w:rsid w:val="00DA40FC"/>
    <w:rsid w:val="00DC7630"/>
    <w:rsid w:val="00DD23D0"/>
    <w:rsid w:val="00DE6B68"/>
    <w:rsid w:val="00DF7CB2"/>
    <w:rsid w:val="00E05C79"/>
    <w:rsid w:val="00E11C21"/>
    <w:rsid w:val="00E12C6E"/>
    <w:rsid w:val="00E726C9"/>
    <w:rsid w:val="00E76647"/>
    <w:rsid w:val="00E90673"/>
    <w:rsid w:val="00EF3164"/>
    <w:rsid w:val="00F0152A"/>
    <w:rsid w:val="00F34EE5"/>
    <w:rsid w:val="00F60135"/>
    <w:rsid w:val="00F75FA1"/>
    <w:rsid w:val="00F9724D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16AB3"/>
  <w15:chartTrackingRefBased/>
  <w15:docId w15:val="{879A56F2-0141-457B-883E-3965F4A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FC0D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C0D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Steps to Select Classes at the University of Essex</vt:lpstr>
    </vt:vector>
  </TitlesOfParts>
  <Company>University of Kansas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Steps to Select Classes at the University of Essex</dc:title>
  <dc:subject/>
  <dc:creator>dwiley</dc:creator>
  <cp:keywords/>
  <cp:lastModifiedBy>Langdon, Jackie</cp:lastModifiedBy>
  <cp:revision>2</cp:revision>
  <cp:lastPrinted>2015-09-29T22:36:00Z</cp:lastPrinted>
  <dcterms:created xsi:type="dcterms:W3CDTF">2021-12-13T18:05:00Z</dcterms:created>
  <dcterms:modified xsi:type="dcterms:W3CDTF">2021-12-13T18:05:00Z</dcterms:modified>
</cp:coreProperties>
</file>