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FAFE" w14:textId="77777777" w:rsidR="0091620A" w:rsidRPr="00E11CB5" w:rsidRDefault="0091620A" w:rsidP="0091620A">
      <w:pPr>
        <w:pStyle w:val="IntenseQuote"/>
        <w:rPr>
          <w:rFonts w:ascii="Gotham Medium" w:hAnsi="Gotham Medium"/>
          <w:color w:val="auto"/>
          <w:sz w:val="16"/>
        </w:rPr>
      </w:pPr>
      <w:r w:rsidRPr="00E11CB5">
        <w:rPr>
          <w:rFonts w:ascii="Gotham Medium" w:hAnsi="Gotham Medium"/>
          <w:b/>
          <w:i w:val="0"/>
          <w:color w:val="auto"/>
          <w:sz w:val="40"/>
        </w:rPr>
        <w:t>Masaryk University Course Selection</w:t>
      </w:r>
      <w:r w:rsidR="00C834C2" w:rsidRPr="00E11CB5">
        <w:rPr>
          <w:rFonts w:ascii="Gotham Medium" w:hAnsi="Gotham Medium"/>
          <w:b/>
          <w:i w:val="0"/>
          <w:color w:val="auto"/>
          <w:sz w:val="40"/>
        </w:rPr>
        <w:t xml:space="preserve"> </w:t>
      </w:r>
      <w:r w:rsidR="00557DC2" w:rsidRPr="00E11CB5">
        <w:rPr>
          <w:rFonts w:ascii="Gotham Medium" w:hAnsi="Gotham Medium"/>
          <w:b/>
          <w:i w:val="0"/>
          <w:color w:val="auto"/>
          <w:sz w:val="40"/>
        </w:rPr>
        <w:t xml:space="preserve">+ </w:t>
      </w:r>
      <w:r w:rsidR="00557DC2" w:rsidRPr="00E11CB5">
        <w:rPr>
          <w:rFonts w:ascii="Gotham Medium" w:hAnsi="Gotham Medium"/>
          <w:b/>
          <w:i w:val="0"/>
          <w:color w:val="auto"/>
          <w:sz w:val="40"/>
        </w:rPr>
        <w:br/>
        <w:t xml:space="preserve">Grade Conversion </w:t>
      </w:r>
      <w:r w:rsidR="00C834C2" w:rsidRPr="00E11CB5">
        <w:rPr>
          <w:rFonts w:ascii="Gotham Medium" w:hAnsi="Gotham Medium"/>
          <w:b/>
          <w:i w:val="0"/>
          <w:color w:val="auto"/>
          <w:sz w:val="40"/>
        </w:rPr>
        <w:t>Guide</w:t>
      </w:r>
    </w:p>
    <w:p w14:paraId="32BEB392" w14:textId="77777777" w:rsidR="00170526" w:rsidRDefault="006B75F7" w:rsidP="00B85399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This document provides guidance for selecting courses 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to take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at Masaryk University 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and an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overview of how we determine the KU credit and grade equivalents</w:t>
      </w:r>
      <w:r w:rsidR="00626EF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Read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this document </w:t>
      </w:r>
      <w:r w:rsid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in full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and keep it on hand for reference throughout </w:t>
      </w:r>
      <w:r w:rsid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your study abroad </w:t>
      </w:r>
      <w:r w:rsidR="0005466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program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58FBC4F3" w14:textId="77777777" w:rsidR="00170526" w:rsidRDefault="00170526" w:rsidP="00170526">
      <w:pPr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</w:pPr>
      <w:r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  <w:t>MASARYK LIST OF COURSES</w:t>
      </w:r>
    </w:p>
    <w:p w14:paraId="4DBF811B" w14:textId="77777777" w:rsidR="00170526" w:rsidRPr="00170526" w:rsidRDefault="00170526" w:rsidP="00170526">
      <w:pPr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</w:pPr>
      <w:r w:rsidRPr="00170526"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>Use the following resources to identify available courses at Masaryk</w:t>
      </w:r>
      <w:r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 xml:space="preserve"> University</w:t>
      </w:r>
      <w:r w:rsidRPr="00170526"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>:</w:t>
      </w:r>
    </w:p>
    <w:p w14:paraId="46C8D90D" w14:textId="77777777" w:rsidR="00170526" w:rsidRPr="00170526" w:rsidRDefault="00094F8A" w:rsidP="00170526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  <w:b/>
          <w:color w:val="000000"/>
          <w:sz w:val="24"/>
          <w:shd w:val="clear" w:color="auto" w:fill="FFFFFF"/>
        </w:rPr>
      </w:pPr>
      <w:hyperlink r:id="rId5" w:history="1">
        <w:r w:rsidR="00170526" w:rsidRPr="00170526">
          <w:rPr>
            <w:rStyle w:val="Hyperlink"/>
            <w:rFonts w:ascii="Gotham Light" w:eastAsia="Times New Roman" w:hAnsi="Gotham Light" w:cs="Times New Roman"/>
            <w:b/>
            <w:sz w:val="24"/>
            <w:shd w:val="clear" w:color="auto" w:fill="FFFFFF"/>
          </w:rPr>
          <w:t>Masaryk Univ</w:t>
        </w:r>
        <w:r w:rsidR="003F2FC5">
          <w:rPr>
            <w:rStyle w:val="Hyperlink"/>
            <w:rFonts w:ascii="Gotham Light" w:eastAsia="Times New Roman" w:hAnsi="Gotham Light" w:cs="Times New Roman"/>
            <w:b/>
            <w:sz w:val="24"/>
            <w:shd w:val="clear" w:color="auto" w:fill="FFFFFF"/>
          </w:rPr>
          <w:t>ersity</w:t>
        </w:r>
        <w:r w:rsidR="00170526" w:rsidRPr="00170526">
          <w:rPr>
            <w:rStyle w:val="Hyperlink"/>
            <w:rFonts w:ascii="Gotham Light" w:eastAsia="Times New Roman" w:hAnsi="Gotham Light" w:cs="Times New Roman"/>
            <w:b/>
            <w:sz w:val="24"/>
            <w:shd w:val="clear" w:color="auto" w:fill="FFFFFF"/>
          </w:rPr>
          <w:t xml:space="preserve"> Course Catalog</w:t>
        </w:r>
      </w:hyperlink>
      <w:r w:rsidR="00170526" w:rsidRPr="00170526">
        <w:rPr>
          <w:rFonts w:ascii="Gotham Light" w:eastAsia="Times New Roman" w:hAnsi="Gotham Light" w:cs="Times New Roman"/>
          <w:b/>
          <w:color w:val="000000"/>
          <w:sz w:val="24"/>
          <w:shd w:val="clear" w:color="auto" w:fill="FFFFFF"/>
        </w:rPr>
        <w:t xml:space="preserve"> </w:t>
      </w:r>
    </w:p>
    <w:p w14:paraId="223BA54F" w14:textId="77777777" w:rsidR="00514A23" w:rsidRDefault="00170526" w:rsidP="003F2FC5">
      <w:pPr>
        <w:ind w:left="72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Masaryk’s course catalog provides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 listing of course options in English. The course catalog is organized by FACULTY (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known as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Schools or Colleges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at KU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) and </w:t>
      </w:r>
      <w:r w:rsidR="007821F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TERM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 Find the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f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aculty that 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offers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courses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needed for your degree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(see below). Click on a term – 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autumn or 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spring </w:t>
      </w:r>
      <w:r w:rsidR="00514A23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–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to see the list of 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courses offered during this term. </w:t>
      </w:r>
      <w:r w:rsidR="00514A23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KU students can take any course for which they are qualified, including courses designated as Master’s level classes.</w:t>
      </w:r>
    </w:p>
    <w:p w14:paraId="65419C84" w14:textId="77777777" w:rsidR="006016F2" w:rsidRDefault="00170526" w:rsidP="003F2FC5">
      <w:pPr>
        <w:ind w:left="72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If the term during which you are planning to study abroad is not 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available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, refer to t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he corresponding term 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of the year prior to see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courses LIKELY to be offered. Courses are continually added to the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catalog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so additional courses may 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also be available.</w:t>
      </w:r>
    </w:p>
    <w:p w14:paraId="211E6579" w14:textId="77777777" w:rsidR="006016F2" w:rsidRPr="006016F2" w:rsidRDefault="006016F2" w:rsidP="00170526">
      <w:pPr>
        <w:ind w:left="72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Note that some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faculty and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department names are different from the KU department 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name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(</w:t>
      </w:r>
      <w:r w:rsidR="00F42D96" w:rsidRPr="00F42D96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Economics and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Administration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at Masaryk offers courses in </w:t>
      </w:r>
      <w:r w:rsidR="004016F9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Business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, for example)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and some KU departments are represented in multiple Masaryk departments.</w:t>
      </w:r>
    </w:p>
    <w:p w14:paraId="26278D8E" w14:textId="77777777" w:rsidR="00170526" w:rsidRPr="00B85399" w:rsidRDefault="00170526" w:rsidP="00170526">
      <w:pPr>
        <w:ind w:left="72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Below are the most popular faculties and subject areas for KU students:</w:t>
      </w:r>
    </w:p>
    <w:p w14:paraId="566E35B6" w14:textId="77777777" w:rsidR="00121700" w:rsidRDefault="00121700" w:rsidP="00121700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Faculty of Arts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: courses in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American Studies,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Art History,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English,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Film Studies, History, Foreign Languages,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Linguistics,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Literature and Creative Writing, Philosophy, Religious Studies, and Theatre.</w:t>
      </w:r>
    </w:p>
    <w:p w14:paraId="5D0F58A3" w14:textId="77777777" w:rsidR="00121700" w:rsidRPr="00B85399" w:rsidRDefault="00121700" w:rsidP="00121700">
      <w:pPr>
        <w:pStyle w:val="ListParagraph"/>
        <w:ind w:left="108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</w:p>
    <w:p w14:paraId="30C85708" w14:textId="77777777" w:rsidR="00121700" w:rsidRPr="00121700" w:rsidRDefault="00170526" w:rsidP="00121700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Faculty of Economics and Administration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: courses in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Business, Finance and Accounting, Economic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s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Management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Marketing,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Supply Chain Management,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and System Engineering.</w:t>
      </w:r>
      <w:r w:rsidR="00514A23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*Many courses 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appropriate for</w:t>
      </w:r>
      <w:r w:rsidR="00514A23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KU students are listed under Courses for Masters Students*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10BFA460" w14:textId="77777777" w:rsidR="00170526" w:rsidRPr="00B85399" w:rsidRDefault="00170526" w:rsidP="00170526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Faculty of Social Studies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: courses in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Communication Studies,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Environmental Humanities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Journalism,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Political Science, Psychology, Social Policy and Social Work, and Sociology.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2311C1E1" w14:textId="77777777" w:rsidR="006016F2" w:rsidRDefault="00170526" w:rsidP="00170526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Faculty of Science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: courses in Anthropology, Biochemistry, Biology, </w:t>
      </w:r>
      <w:r w:rsidR="00D7635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Cartography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Chemistry, 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Ecology, Evolutionary Biology, Geography,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Geology, Mathematics, and Physics.</w:t>
      </w:r>
      <w:r w:rsidR="006016F2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7B47A7C1" w14:textId="77777777" w:rsidR="00170526" w:rsidRPr="00B85399" w:rsidRDefault="006016F2" w:rsidP="00170526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Faculty of Sport</w:t>
      </w:r>
      <w:r w:rsidR="004016F9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s Studies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Exercise Science, Kinesiology, Physical Education.</w:t>
      </w:r>
      <w:r w:rsidR="00121700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06FBA136" w14:textId="77777777" w:rsidR="00170526" w:rsidRPr="00B85399" w:rsidRDefault="00170526" w:rsidP="00170526">
      <w:pPr>
        <w:pStyle w:val="ListParagraph"/>
        <w:numPr>
          <w:ilvl w:val="0"/>
          <w:numId w:val="3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F2FC5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Central European Studies Program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: a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n interdisciplinary program with a select set of courses designed to explore the social, economic, political, and cultural transformations that have shaped the Czech Republic and Central Europe.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7E643F19" w14:textId="77777777" w:rsidR="00170526" w:rsidRPr="00121700" w:rsidRDefault="00094F8A" w:rsidP="00170526">
      <w:pPr>
        <w:pStyle w:val="ListParagraph"/>
        <w:numPr>
          <w:ilvl w:val="0"/>
          <w:numId w:val="2"/>
        </w:numPr>
        <w:rPr>
          <w:rStyle w:val="Hyperlink"/>
          <w:rFonts w:ascii="Gotham Light" w:eastAsia="Times New Roman" w:hAnsi="Gotham Light" w:cs="Times New Roman"/>
          <w:b/>
          <w:color w:val="000000"/>
          <w:sz w:val="24"/>
          <w:u w:val="none"/>
          <w:shd w:val="clear" w:color="auto" w:fill="FFFFFF"/>
        </w:rPr>
      </w:pPr>
      <w:hyperlink r:id="rId6" w:history="1">
        <w:r w:rsidR="00170526" w:rsidRPr="00121700">
          <w:rPr>
            <w:rStyle w:val="Hyperlink"/>
            <w:rFonts w:ascii="Gotham Light" w:eastAsia="Times New Roman" w:hAnsi="Gotham Light" w:cs="Times New Roman"/>
            <w:b/>
            <w:sz w:val="24"/>
            <w:shd w:val="clear" w:color="auto" w:fill="FFFFFF"/>
          </w:rPr>
          <w:t>KU Course Equivalency Database</w:t>
        </w:r>
      </w:hyperlink>
    </w:p>
    <w:p w14:paraId="66D5A1E8" w14:textId="77777777" w:rsidR="00170526" w:rsidRDefault="00170526" w:rsidP="00170526">
      <w:pPr>
        <w:pStyle w:val="ListParagraph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</w:p>
    <w:p w14:paraId="2CB13CFD" w14:textId="77777777" w:rsidR="00170526" w:rsidRDefault="003F2FC5" w:rsidP="00170526">
      <w:pPr>
        <w:pStyle w:val="ListParagraph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This is a list of courses that are pre-approved for KU credit (approved equivalency) and courses that students have had approved for KU credit in the past (possible equivalency).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Use ‘Masaryk’ in the search field. </w:t>
      </w:r>
      <w:r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This is NOT A COMPLETE LIST of courses available to you.  </w:t>
      </w:r>
    </w:p>
    <w:p w14:paraId="267D8B7B" w14:textId="77777777" w:rsidR="003F2FC5" w:rsidRPr="00B85399" w:rsidRDefault="003F2FC5" w:rsidP="00170526">
      <w:pPr>
        <w:pStyle w:val="ListParagraph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</w:p>
    <w:p w14:paraId="395CB1CB" w14:textId="77777777" w:rsidR="00170526" w:rsidRDefault="00170526" w:rsidP="00170526">
      <w:pPr>
        <w:pStyle w:val="ListParagraph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Course approvals are subject to the discretion of the academic department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Any course listed in the database as an ‘Approved Equivalency’ is pre-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approved for credit as listed.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Any course not appearing in the database or listed as a ‘Possible Equivalency’ will require departmental approval to determine the KU course credit</w:t>
      </w:r>
      <w:r w:rsidR="003F2FC5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Any course listed as ‘No Equivalency’ can be approved 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for study abroad topics credits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or approved through a different department.   </w:t>
      </w:r>
    </w:p>
    <w:p w14:paraId="341D96DB" w14:textId="77777777" w:rsidR="003F2FC5" w:rsidRDefault="003F2FC5" w:rsidP="00170526">
      <w:pPr>
        <w:pStyle w:val="ListParagraph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</w:p>
    <w:p w14:paraId="6E312ECA" w14:textId="77777777" w:rsidR="00170526" w:rsidRDefault="003F2FC5" w:rsidP="00B85399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____________________________________________________________________________________</w:t>
      </w:r>
    </w:p>
    <w:p w14:paraId="6FDCF66A" w14:textId="77777777" w:rsidR="00170526" w:rsidRPr="00B85399" w:rsidRDefault="003F2FC5" w:rsidP="00B85399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  <w:t xml:space="preserve">FOR ACCEPTED STUDENTS ONLY (The following information is for students who have already applied and been accepted to the Masaryk University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exchange 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program</w:t>
      </w:r>
      <w:r w:rsidR="004A486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)</w:t>
      </w:r>
    </w:p>
    <w:p w14:paraId="0AE6243E" w14:textId="77777777" w:rsidR="006B75F7" w:rsidRPr="006B2F17" w:rsidRDefault="00F42D96" w:rsidP="006B75F7">
      <w:pPr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</w:pPr>
      <w:r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br/>
      </w:r>
      <w:r w:rsidR="006B75F7" w:rsidRPr="006B2F17"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  <w:t>COURSE SELECTION + ENROLLMENT</w:t>
      </w:r>
    </w:p>
    <w:p w14:paraId="3A090902" w14:textId="77777777" w:rsidR="00170526" w:rsidRDefault="0091620A" w:rsidP="00170526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There will be two phases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for enrolling in</w:t>
      </w:r>
      <w:r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courses for your s</w:t>
      </w:r>
      <w:r w:rsidR="00626EFD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emester at Masaryk University: </w:t>
      </w:r>
      <w:r w:rsidR="00170526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</w:p>
    <w:p w14:paraId="07AB6B32" w14:textId="77777777" w:rsidR="00170526" w:rsidRPr="00170526" w:rsidRDefault="00170526" w:rsidP="00170526">
      <w:pPr>
        <w:pStyle w:val="ListParagraph"/>
        <w:numPr>
          <w:ilvl w:val="0"/>
          <w:numId w:val="8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I</w:t>
      </w:r>
      <w:r w:rsidR="0091620A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dent</w:t>
      </w:r>
      <w:r w:rsidR="006B75F7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ifying and pre-selecting courses during the host </w:t>
      </w:r>
      <w:r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institution application process</w:t>
      </w: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</w:p>
    <w:p w14:paraId="563C0BFE" w14:textId="77777777" w:rsidR="0091620A" w:rsidRPr="00170526" w:rsidRDefault="00170526" w:rsidP="00170526">
      <w:pPr>
        <w:pStyle w:val="ListParagraph"/>
        <w:numPr>
          <w:ilvl w:val="0"/>
          <w:numId w:val="8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</w:t>
      </w:r>
      <w:r w:rsidR="006B75F7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egistering and enrolling for</w:t>
      </w:r>
      <w:r w:rsidR="002B29C8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courses</w:t>
      </w:r>
      <w:r w:rsidR="00AD7F90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immediately before the start of your semester abroad</w:t>
      </w:r>
      <w:r w:rsidR="002B29C8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  <w:r w:rsidR="001445AC" w:rsidRP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 </w:t>
      </w:r>
    </w:p>
    <w:p w14:paraId="58A4FD44" w14:textId="77777777" w:rsidR="0091620A" w:rsidRPr="00F42D96" w:rsidRDefault="00F42D96" w:rsidP="0091620A">
      <w:pPr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</w:pPr>
      <w:r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br/>
      </w:r>
      <w:r w:rsidR="0091620A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 xml:space="preserve">Phase 1: Course </w:t>
      </w:r>
      <w:r w:rsidR="00557DC2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P</w:t>
      </w:r>
      <w:r w:rsidR="002B29C8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 xml:space="preserve">reference </w:t>
      </w:r>
      <w:r w:rsidR="00557DC2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S</w:t>
      </w:r>
      <w:r w:rsidR="0091620A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 xml:space="preserve">election </w:t>
      </w:r>
    </w:p>
    <w:p w14:paraId="4C950C6B" w14:textId="77777777" w:rsidR="0091620A" w:rsidRPr="00B85399" w:rsidRDefault="00D578BB" w:rsidP="0091620A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As you complete the Masaryk University application</w:t>
      </w:r>
      <w:r w:rsidR="00626EF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(after acceptance by KU)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you will submit a list of </w:t>
      </w:r>
      <w:r w:rsidR="0017052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course preferences. </w:t>
      </w:r>
      <w:r w:rsidR="0038678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</w:t>
      </w:r>
      <w:r w:rsidR="002B29C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efer to the courses pre-approved on your Academi</w:t>
      </w:r>
      <w:r w:rsidR="001445A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 Plan and Approval Form</w:t>
      </w:r>
      <w:r w:rsidR="0038678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 </w:t>
      </w:r>
      <w:r w:rsidR="0038678C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Su</w:t>
      </w:r>
      <w:r w:rsidR="001445AC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bmit your</w:t>
      </w:r>
      <w:r w:rsidR="002B29C8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 list </w:t>
      </w:r>
      <w:r w:rsidR="001445AC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of</w:t>
      </w:r>
      <w:r w:rsidR="002B29C8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 course preferences </w:t>
      </w:r>
      <w:r w:rsidR="001445AC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to the </w:t>
      </w:r>
      <w:r w:rsidR="004016F9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KU Study Abroad</w:t>
      </w:r>
      <w:r w:rsidR="0088110D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 Program Coordinator</w:t>
      </w:r>
      <w:r w:rsidR="004016F9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, Jenna Hunter-Skidmore.</w:t>
      </w:r>
      <w:r w:rsid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 </w:t>
      </w:r>
      <w:r w:rsidR="00AD7F90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The list should be typed and inclu</w:t>
      </w:r>
      <w:r w:rsidR="00626EFD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de the course number and title </w:t>
      </w:r>
      <w:r w:rsidR="00AD7F90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as they appea</w:t>
      </w:r>
      <w:r w:rsidR="00626EFD"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r in the Masaryk course catalog</w:t>
      </w:r>
      <w:r w:rsidR="00AD7F90" w:rsidRP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  <w:r w:rsidR="00AD7F9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Refer to the host i</w:t>
      </w:r>
      <w:r w:rsidR="0088110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nstitution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</w:t>
      </w:r>
      <w:r w:rsidR="001445A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pplication instructions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in JayhawksAbroad for more information.</w:t>
      </w:r>
      <w:r w:rsidR="00AD7F9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F42D96" w:rsidRPr="00F42D96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This</w:t>
      </w:r>
      <w:r w:rsidR="00AD7F90" w:rsidRPr="00F42D96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 is not confirmed enrollment in these courses; the actual courses you enroll in may vary according to availability.</w:t>
      </w:r>
      <w:r w:rsidR="001445A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 </w:t>
      </w:r>
      <w:r w:rsidR="002B29C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</w:p>
    <w:p w14:paraId="0D0A423C" w14:textId="77777777" w:rsidR="0091620A" w:rsidRPr="00F42D96" w:rsidRDefault="00557DC2" w:rsidP="00557DC2">
      <w:pPr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</w:pPr>
      <w:r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Phase 2: Course E</w:t>
      </w:r>
      <w:r w:rsidR="0091620A" w:rsidRPr="00F42D96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nrollment</w:t>
      </w:r>
    </w:p>
    <w:p w14:paraId="5D9BB7B6" w14:textId="77777777" w:rsidR="0091620A" w:rsidRPr="00B85399" w:rsidRDefault="00940607" w:rsidP="00844483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Course</w:t>
      </w:r>
      <w:r w:rsidR="00F02631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registration</w:t>
      </w:r>
      <w:r w:rsidR="004A2DC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/enrollment</w:t>
      </w:r>
      <w:r w:rsidR="00F02631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takes</w:t>
      </w:r>
      <w:r w:rsidR="00F02631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place online after you have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been accepted</w:t>
      </w:r>
      <w:r w:rsidR="00F02631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by Masaryk University.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Approximately two months prior to the start of your semester abroad, you will receive an email directly from Masaryk University with detailed instructions for accessing their onli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ne course 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registration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system. </w:t>
      </w:r>
      <w:r w:rsid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>Enrollment for f</w:t>
      </w:r>
      <w:r w:rsidR="001126DC" w:rsidRP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 xml:space="preserve">all semester </w:t>
      </w:r>
      <w:r w:rsidR="004A2DCD" w:rsidRP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>takes place late from July - September</w:t>
      </w:r>
      <w:r w:rsid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>; enrollment for s</w:t>
      </w:r>
      <w:r w:rsidR="001126DC" w:rsidRP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 xml:space="preserve">pring semester takes place </w:t>
      </w:r>
      <w:r w:rsidR="004A2DCD" w:rsidRPr="00F42D96">
        <w:rPr>
          <w:rFonts w:ascii="Gotham Light" w:eastAsia="Times New Roman" w:hAnsi="Gotham Light" w:cs="Times New Roman"/>
          <w:b/>
          <w:color w:val="000000"/>
          <w:sz w:val="20"/>
          <w:u w:val="single"/>
          <w:shd w:val="clear" w:color="auto" w:fill="FFFFFF"/>
        </w:rPr>
        <w:t>from late November - February</w:t>
      </w:r>
      <w:r w:rsidR="001126DC" w:rsidRPr="00B85399"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>.</w:t>
      </w:r>
      <w:r w:rsidR="001126DC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9348D6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Each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Faculty</w:t>
      </w:r>
      <w:r w:rsidR="009348D6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has a designated enrollment period. 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You will register for your preferred courses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during this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designated enrollment period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  After your registration, you will be automatically enrolled in the courses you have selected.</w:t>
      </w:r>
    </w:p>
    <w:p w14:paraId="39E398A2" w14:textId="77777777" w:rsidR="007E3310" w:rsidRPr="00B85399" w:rsidRDefault="00945AC0" w:rsidP="007E3310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4A486F"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>Note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: I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f a course has a prerequisite, you may not be able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to enroll in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it right away.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 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This does not mean the course is unavailable to you.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This</w:t>
      </w:r>
      <w:r w:rsidR="007E331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happens because Masaryk’s online system does not recognize your educational history</w:t>
      </w:r>
      <w:r w:rsidR="007E331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and therefore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may not allow you to enroll automatically </w:t>
      </w:r>
      <w:r w:rsidR="007E331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in a course with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prerequisites.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Instead, you will apply for an exception online within the system during the designated </w:t>
      </w:r>
      <w:r w:rsidR="004A2DC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enrollment 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period.  After </w:t>
      </w:r>
      <w:r w:rsidR="007E3310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applying for an exception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, you </w:t>
      </w:r>
      <w:r w:rsidR="00D7635C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are likely to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be approved by the </w:t>
      </w:r>
      <w:r w:rsidR="004A2DCD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course</w:t>
      </w:r>
      <w:r w:rsidR="00477628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instructor to enroll in the course.  </w:t>
      </w:r>
    </w:p>
    <w:p w14:paraId="6B635EAF" w14:textId="77777777" w:rsidR="00557DC2" w:rsidRPr="00F42D96" w:rsidRDefault="00F42D96" w:rsidP="007E3310">
      <w:pPr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</w:pPr>
      <w:r w:rsidRPr="00F42D96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lastRenderedPageBreak/>
        <w:t>Important Reminders</w:t>
      </w:r>
    </w:p>
    <w:p w14:paraId="5E3445A0" w14:textId="77777777" w:rsidR="00557DC2" w:rsidRPr="00B85399" w:rsidRDefault="00557DC2" w:rsidP="00F42D96">
      <w:pPr>
        <w:pStyle w:val="ListParagraph"/>
        <w:numPr>
          <w:ilvl w:val="0"/>
          <w:numId w:val="9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You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must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maintain full-tim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e student status while abroad (12 KU credit hours). 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Make sure your Masaryk courses have been approved to convert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to at least 12 KU credit hours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This </w:t>
      </w:r>
      <w:r w:rsid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is </w:t>
      </w:r>
      <w:r w:rsidR="008C501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approximately 2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4-30 ECTS (4-5 classes), but can vary b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ased on the classes you select</w:t>
      </w:r>
      <w:r w:rsidR="008C501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</w:p>
    <w:p w14:paraId="165FF441" w14:textId="77777777" w:rsidR="009348D6" w:rsidRPr="00B85399" w:rsidRDefault="009348D6" w:rsidP="009348D6">
      <w:pPr>
        <w:pStyle w:val="ListParagraph"/>
        <w:ind w:left="1080"/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</w:p>
    <w:p w14:paraId="7A2A0F04" w14:textId="77777777" w:rsidR="00557DC2" w:rsidRPr="00B85399" w:rsidRDefault="00557DC2" w:rsidP="00F42D96">
      <w:pPr>
        <w:pStyle w:val="ListParagraph"/>
        <w:numPr>
          <w:ilvl w:val="0"/>
          <w:numId w:val="9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Masaryk University requires that exchange student</w:t>
      </w:r>
      <w:r w:rsidR="008C5012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s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enroll in a minimum of 20 ECTS. </w:t>
      </w:r>
      <w:r w:rsidR="009348D6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 </w:t>
      </w:r>
    </w:p>
    <w:p w14:paraId="3A8F0F81" w14:textId="77777777" w:rsidR="00557DC2" w:rsidRPr="00B85399" w:rsidRDefault="00557DC2" w:rsidP="00F42D96">
      <w:pPr>
        <w:pStyle w:val="ListParagraph"/>
        <w:numPr>
          <w:ilvl w:val="0"/>
          <w:numId w:val="9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All</w:t>
      </w: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courses you take and grades you receive will be posted to your KU transcript and count towards your GPA.</w:t>
      </w:r>
    </w:p>
    <w:p w14:paraId="1D5295DE" w14:textId="77777777" w:rsidR="007E3310" w:rsidRPr="00B85399" w:rsidRDefault="007E3310" w:rsidP="002B29C8">
      <w:pPr>
        <w:rPr>
          <w:rFonts w:ascii="Gotham Light" w:eastAsia="Times New Roman" w:hAnsi="Gotham Light" w:cs="Times New Roman"/>
          <w:b/>
          <w:color w:val="000000"/>
          <w:sz w:val="18"/>
          <w:shd w:val="clear" w:color="auto" w:fill="FFFFFF"/>
        </w:rPr>
      </w:pPr>
    </w:p>
    <w:p w14:paraId="044C1C80" w14:textId="77777777" w:rsidR="002B29C8" w:rsidRPr="006B2F17" w:rsidRDefault="006B75F7" w:rsidP="002B29C8">
      <w:pPr>
        <w:rPr>
          <w:rFonts w:ascii="Gotham Medium" w:eastAsia="Times New Roman" w:hAnsi="Gotham Medium" w:cs="Times New Roman"/>
          <w:b/>
          <w:color w:val="000000"/>
          <w:shd w:val="clear" w:color="auto" w:fill="FFFFFF"/>
        </w:rPr>
      </w:pPr>
      <w:r w:rsidRPr="006B2F17"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  <w:t>CREDIT AND GRADE CONVERSION</w:t>
      </w:r>
      <w:r w:rsidR="007E3310" w:rsidRPr="006B2F17">
        <w:rPr>
          <w:rFonts w:ascii="Gotham Medium" w:eastAsia="Times New Roman" w:hAnsi="Gotham Medium" w:cs="Times New Roman"/>
          <w:b/>
          <w:color w:val="000000"/>
          <w:shd w:val="clear" w:color="auto" w:fill="FFFFFF"/>
        </w:rPr>
        <w:br/>
      </w:r>
    </w:p>
    <w:p w14:paraId="76EE0C79" w14:textId="77777777" w:rsidR="00C834C2" w:rsidRPr="00F42D96" w:rsidRDefault="00C834C2" w:rsidP="002B29C8">
      <w:pPr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</w:pPr>
      <w:r w:rsidRPr="00F42D96">
        <w:rPr>
          <w:rFonts w:ascii="Gotham Medium" w:eastAsia="Times New Roman" w:hAnsi="Gotham Medium" w:cs="Times New Roman"/>
          <w:color w:val="000000"/>
          <w:sz w:val="20"/>
          <w:u w:val="single"/>
          <w:shd w:val="clear" w:color="auto" w:fill="FFFFFF"/>
        </w:rPr>
        <w:t>Official Masaryk Transcript</w:t>
      </w:r>
    </w:p>
    <w:p w14:paraId="25618415" w14:textId="77777777" w:rsidR="004A486F" w:rsidRDefault="002B29C8" w:rsidP="002B29C8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After you return from studying abroad, Masaryk University will</w:t>
      </w:r>
      <w:r w:rsidR="00557D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mail</w:t>
      </w:r>
      <w:r w:rsidR="00C00F44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KU Study Abroad</w:t>
      </w: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your official </w:t>
      </w:r>
      <w:r w:rsidR="00844483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university </w:t>
      </w: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transcript</w:t>
      </w:r>
      <w:r w:rsidRPr="00F42D96">
        <w:rPr>
          <w:rFonts w:ascii="Gotham Light" w:eastAsia="Times New Roman" w:hAnsi="Gotham Light" w:cs="Times New Roman"/>
          <w:b/>
          <w:color w:val="000000"/>
          <w:sz w:val="20"/>
          <w:shd w:val="clear" w:color="auto" w:fill="FFFFFF"/>
        </w:rPr>
        <w:t xml:space="preserve">. </w:t>
      </w:r>
      <w:r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It can take several months for us to receive your final </w:t>
      </w:r>
      <w:r w:rsidR="009348D6"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official </w:t>
      </w:r>
      <w:r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transcript 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from Masaryk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(fall</w:t>
      </w:r>
      <w:r w:rsidR="004A486F"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semester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transcripts received in March; spring</w:t>
      </w:r>
      <w:r w:rsidR="004A486F"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semester transcripts received in August)</w:t>
      </w:r>
      <w:r w:rsidRP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.</w:t>
      </w:r>
      <w:r w:rsid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</w:p>
    <w:p w14:paraId="2914D280" w14:textId="77777777" w:rsidR="00557DC2" w:rsidRPr="00F42D96" w:rsidRDefault="009348D6" w:rsidP="002B29C8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If you are a graduating senior, it is your responsibility to ensure that </w:t>
      </w:r>
      <w:r w:rsidR="004016F9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>KU</w:t>
      </w:r>
      <w:r w:rsidRPr="00F42D96">
        <w:rPr>
          <w:rFonts w:ascii="Gotham Light" w:eastAsia="Times New Roman" w:hAnsi="Gotham Light" w:cs="Times New Roman"/>
          <w:color w:val="000000"/>
          <w:sz w:val="20"/>
          <w:u w:val="single"/>
          <w:shd w:val="clear" w:color="auto" w:fill="FFFFFF"/>
        </w:rPr>
        <w:t xml:space="preserve"> Study Abroad receives your transcript from Masaryk University in time to post your credits and grades to meet the graduation deadline.</w:t>
      </w: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Make </w:t>
      </w: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all necessary arrangements 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with Masaryk </w:t>
      </w:r>
      <w:r w:rsidR="00C00F44" w:rsidRPr="00F42D96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before</w:t>
      </w:r>
      <w:r w:rsidR="00C00F44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the conclusion of the semester.</w:t>
      </w:r>
    </w:p>
    <w:p w14:paraId="1EDC4D2C" w14:textId="77777777" w:rsidR="002B29C8" w:rsidRPr="00F42D96" w:rsidRDefault="00844483" w:rsidP="002B29C8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To expedite the grade posting process, ensure that you have all of </w:t>
      </w:r>
      <w:r w:rsidR="00FE6671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your</w:t>
      </w:r>
      <w:r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courses 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pre-approved by the app</w:t>
      </w:r>
      <w:r w:rsidR="004A486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ropriate department in writing, 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either in the Academic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Plan and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Approval Form or in an email </w:t>
      </w:r>
      <w:r w:rsid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copied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to </w:t>
      </w:r>
      <w:r w:rsidR="00557D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your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</w:t>
      </w:r>
      <w:r w:rsidR="000F0938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study abroad </w:t>
      </w:r>
      <w:r w:rsidR="00C834C2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Program Coordinator – Jenna Hunter-Skidmore, </w:t>
      </w:r>
      <w:hyperlink r:id="rId7" w:history="1">
        <w:r w:rsidR="00C834C2" w:rsidRPr="00F42D96">
          <w:rPr>
            <w:rStyle w:val="Hyperlink"/>
            <w:rFonts w:ascii="Gotham Light" w:eastAsia="Times New Roman" w:hAnsi="Gotham Light" w:cs="Times New Roman"/>
            <w:sz w:val="20"/>
            <w:shd w:val="clear" w:color="auto" w:fill="FFFFFF"/>
          </w:rPr>
          <w:t>jmhunter@ku.edu</w:t>
        </w:r>
      </w:hyperlink>
      <w:r w:rsidR="00FE6671" w:rsidRPr="00F42D96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.  </w:t>
      </w:r>
    </w:p>
    <w:p w14:paraId="04894E34" w14:textId="77777777" w:rsidR="00844483" w:rsidRPr="0033247F" w:rsidRDefault="00C834C2" w:rsidP="002B29C8">
      <w:pPr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</w:pPr>
      <w:r w:rsidRPr="0033247F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Masaryk Credit System + Conversion</w:t>
      </w:r>
    </w:p>
    <w:p w14:paraId="2289E3BB" w14:textId="77777777" w:rsidR="00844483" w:rsidRPr="0033247F" w:rsidRDefault="00844483" w:rsidP="002B29C8">
      <w:p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Masaryk uses the ECTS (European Credit Transfer Syste</w:t>
      </w:r>
      <w:r w:rsid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m) to calculate credit amount. </w:t>
      </w:r>
      <w:r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Courses are assigned a number of credits depending on the workload students need to achieve t</w:t>
      </w:r>
      <w:r w:rsid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he expected learning outcomes. </w:t>
      </w:r>
      <w:r w:rsidR="00A048C1"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The ECTS to KU credit ratio is </w:t>
      </w:r>
      <w:r w:rsidR="00A048C1" w:rsidRPr="004016F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roughly</w:t>
      </w:r>
      <w:r w:rsidR="00A048C1"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 2:1.  </w:t>
      </w:r>
      <w:r w:rsidR="007E3310"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  <w:r w:rsidR="007E3310"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br/>
      </w:r>
      <w:r w:rsidRPr="0033247F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>ECTS to KU credit conversion scale:</w:t>
      </w:r>
    </w:p>
    <w:tbl>
      <w:tblPr>
        <w:tblStyle w:val="PlainTable1"/>
        <w:tblW w:w="6408" w:type="dxa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938"/>
        <w:gridCol w:w="1492"/>
        <w:gridCol w:w="1260"/>
      </w:tblGrid>
      <w:tr w:rsidR="00844483" w:rsidRPr="00B85399" w14:paraId="54490517" w14:textId="77777777" w:rsidTr="00B2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14:paraId="1EF23150" w14:textId="77777777" w:rsidR="00844483" w:rsidRPr="0033247F" w:rsidRDefault="00844483" w:rsidP="00F02631">
            <w:pPr>
              <w:jc w:val="center"/>
              <w:rPr>
                <w:rFonts w:ascii="Gotham Light" w:eastAsia="Calibri" w:hAnsi="Gotham Light"/>
                <w:sz w:val="20"/>
                <w:szCs w:val="20"/>
                <w:u w:val="single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  <w:u w:val="single"/>
              </w:rPr>
              <w:t>ECTS Credits</w:t>
            </w:r>
          </w:p>
        </w:tc>
        <w:tc>
          <w:tcPr>
            <w:tcW w:w="1260" w:type="dxa"/>
            <w:noWrap/>
            <w:hideMark/>
          </w:tcPr>
          <w:p w14:paraId="4C5A7C44" w14:textId="77777777" w:rsidR="00844483" w:rsidRPr="0033247F" w:rsidRDefault="00844483" w:rsidP="00F02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  <w:u w:val="single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  <w:u w:val="single"/>
              </w:rPr>
              <w:t>KU Credits</w:t>
            </w:r>
          </w:p>
        </w:tc>
        <w:tc>
          <w:tcPr>
            <w:tcW w:w="938" w:type="dxa"/>
          </w:tcPr>
          <w:p w14:paraId="465E0B01" w14:textId="77777777" w:rsidR="00844483" w:rsidRPr="0033247F" w:rsidRDefault="00844483" w:rsidP="00F02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  <w:u w:val="single"/>
              </w:rPr>
            </w:pPr>
          </w:p>
        </w:tc>
        <w:tc>
          <w:tcPr>
            <w:tcW w:w="1492" w:type="dxa"/>
          </w:tcPr>
          <w:p w14:paraId="20D8F816" w14:textId="77777777" w:rsidR="00844483" w:rsidRPr="0033247F" w:rsidRDefault="00844483" w:rsidP="00F02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  <w:u w:val="single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  <w:u w:val="single"/>
              </w:rPr>
              <w:t>ECTS Credits</w:t>
            </w:r>
          </w:p>
        </w:tc>
        <w:tc>
          <w:tcPr>
            <w:tcW w:w="1260" w:type="dxa"/>
          </w:tcPr>
          <w:p w14:paraId="3EB22BD9" w14:textId="77777777" w:rsidR="00844483" w:rsidRPr="0033247F" w:rsidRDefault="00844483" w:rsidP="00F02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  <w:u w:val="single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  <w:u w:val="single"/>
              </w:rPr>
              <w:t>KU Credits</w:t>
            </w:r>
          </w:p>
        </w:tc>
      </w:tr>
      <w:tr w:rsidR="00844483" w:rsidRPr="00B85399" w14:paraId="28779D14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14:paraId="1055145B" w14:textId="77777777" w:rsidR="00844483" w:rsidRPr="0033247F" w:rsidRDefault="00844483" w:rsidP="00F02631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2AFAA819" w14:textId="77777777" w:rsidR="00844483" w:rsidRPr="0033247F" w:rsidRDefault="00844483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6D0F9408" w14:textId="77777777" w:rsidR="00844483" w:rsidRPr="0033247F" w:rsidRDefault="00844483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9AEE5A7" w14:textId="77777777" w:rsidR="00844483" w:rsidRPr="0033247F" w:rsidRDefault="00844483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15ACFD21" w14:textId="77777777" w:rsidR="00844483" w:rsidRPr="0033247F" w:rsidRDefault="00C834C2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3-4</w:t>
            </w:r>
          </w:p>
        </w:tc>
      </w:tr>
      <w:tr w:rsidR="00844483" w:rsidRPr="00B85399" w14:paraId="4A2869E1" w14:textId="77777777" w:rsidTr="00B2532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14:paraId="0FD1C3B0" w14:textId="77777777" w:rsidR="00844483" w:rsidRPr="0033247F" w:rsidRDefault="00844483" w:rsidP="00F02631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D4CEBFC" w14:textId="77777777" w:rsidR="00844483" w:rsidRPr="0033247F" w:rsidRDefault="00945AC0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1-</w:t>
            </w:r>
            <w:r w:rsidR="00844483"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0B061378" w14:textId="77777777" w:rsidR="00844483" w:rsidRPr="0033247F" w:rsidRDefault="00844483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3258BE2" w14:textId="77777777" w:rsidR="00844483" w:rsidRPr="0033247F" w:rsidRDefault="007E3310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527413CC" w14:textId="77777777" w:rsidR="00844483" w:rsidRPr="0033247F" w:rsidRDefault="007E3310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4</w:t>
            </w:r>
          </w:p>
        </w:tc>
      </w:tr>
      <w:tr w:rsidR="00844483" w:rsidRPr="00B85399" w14:paraId="5AD77D84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14:paraId="0B72B562" w14:textId="77777777" w:rsidR="00844483" w:rsidRPr="0033247F" w:rsidRDefault="00844483" w:rsidP="00F02631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AA51F82" w14:textId="77777777" w:rsidR="00844483" w:rsidRPr="0033247F" w:rsidRDefault="00844483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2</w:t>
            </w:r>
            <w:r w:rsidR="00E3481F"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-3</w:t>
            </w:r>
          </w:p>
        </w:tc>
        <w:tc>
          <w:tcPr>
            <w:tcW w:w="938" w:type="dxa"/>
          </w:tcPr>
          <w:p w14:paraId="3BB68CD4" w14:textId="77777777" w:rsidR="00844483" w:rsidRPr="0033247F" w:rsidRDefault="00844483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545693F" w14:textId="77777777" w:rsidR="00844483" w:rsidRPr="0033247F" w:rsidRDefault="007E3310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32E373A0" w14:textId="77777777" w:rsidR="00844483" w:rsidRPr="0033247F" w:rsidRDefault="007E3310" w:rsidP="00F02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5</w:t>
            </w:r>
          </w:p>
        </w:tc>
      </w:tr>
      <w:tr w:rsidR="00844483" w:rsidRPr="00B85399" w14:paraId="0A88478F" w14:textId="77777777" w:rsidTr="00B2532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14:paraId="17F71A3B" w14:textId="77777777" w:rsidR="00844483" w:rsidRPr="0033247F" w:rsidRDefault="00844483" w:rsidP="00F02631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7DB604C6" w14:textId="77777777" w:rsidR="00844483" w:rsidRPr="0033247F" w:rsidRDefault="00844483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4AE21ABD" w14:textId="77777777" w:rsidR="00844483" w:rsidRPr="0033247F" w:rsidRDefault="00844483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F289369" w14:textId="77777777" w:rsidR="00844483" w:rsidRPr="0033247F" w:rsidRDefault="007E3310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14:paraId="32ABF950" w14:textId="77777777" w:rsidR="00844483" w:rsidRPr="0033247F" w:rsidRDefault="007E3310" w:rsidP="00F0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color w:val="0000FF"/>
                <w:sz w:val="20"/>
                <w:szCs w:val="20"/>
              </w:rPr>
            </w:pPr>
            <w:r w:rsidRPr="0033247F">
              <w:rPr>
                <w:rFonts w:ascii="Gotham Light" w:eastAsia="Calibri" w:hAnsi="Gotham Light"/>
                <w:color w:val="0000FF"/>
                <w:sz w:val="20"/>
                <w:szCs w:val="20"/>
              </w:rPr>
              <w:t>6</w:t>
            </w:r>
          </w:p>
        </w:tc>
      </w:tr>
    </w:tbl>
    <w:p w14:paraId="292DF618" w14:textId="77777777" w:rsidR="00844483" w:rsidRPr="00B85399" w:rsidRDefault="00844483" w:rsidP="002B29C8">
      <w:pPr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</w:rPr>
      </w:pPr>
    </w:p>
    <w:p w14:paraId="6346B296" w14:textId="77777777" w:rsidR="00844483" w:rsidRDefault="008C5012" w:rsidP="0033247F">
      <w:pPr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</w:pPr>
      <w:r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IMPORTANT NOTE</w:t>
      </w:r>
      <w:r w:rsidR="00E3481F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: T</w:t>
      </w:r>
      <w:r w:rsidR="00844483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his standard </w:t>
      </w:r>
      <w:r w:rsidR="00E3481F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is </w:t>
      </w:r>
      <w:r w:rsidR="00844483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applied with flexibility, as many European countries do not base their academic systems on the same contact hour principle that the U</w:t>
      </w:r>
      <w:r w:rsidR="00E3481F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.</w:t>
      </w:r>
      <w:r w:rsidR="00844483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S</w:t>
      </w:r>
      <w:r w:rsidR="00E3481F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.</w:t>
      </w:r>
      <w:r w:rsid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 standard does. </w:t>
      </w:r>
      <w:r w:rsidR="004016F9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KU f</w:t>
      </w:r>
      <w:r w:rsidR="00844483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aculty </w:t>
      </w:r>
      <w:r w:rsidR="00E3481F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will</w:t>
      </w:r>
      <w:r w:rsidR="00844483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 xml:space="preserve"> review the content of a course and judge con</w:t>
      </w:r>
      <w:r w:rsidR="00C834C2" w:rsidRPr="0033247F"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  <w:t>tent plus the above scale to most accurately determine the KU credit equivalent.</w:t>
      </w:r>
    </w:p>
    <w:p w14:paraId="2A3E035A" w14:textId="77777777" w:rsidR="004016F9" w:rsidRDefault="004016F9" w:rsidP="0033247F">
      <w:pPr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</w:pPr>
    </w:p>
    <w:p w14:paraId="28136BE3" w14:textId="77777777" w:rsidR="004016F9" w:rsidRPr="0033247F" w:rsidRDefault="004016F9" w:rsidP="0033247F">
      <w:pPr>
        <w:rPr>
          <w:rFonts w:ascii="Gotham Light" w:eastAsia="Times New Roman" w:hAnsi="Gotham Light" w:cs="Times New Roman"/>
          <w:i/>
          <w:color w:val="000000"/>
          <w:sz w:val="20"/>
          <w:shd w:val="clear" w:color="auto" w:fill="FFFFFF"/>
        </w:rPr>
      </w:pPr>
    </w:p>
    <w:p w14:paraId="0C1EB54A" w14:textId="77777777" w:rsidR="00557DC2" w:rsidRPr="0033247F" w:rsidRDefault="00557DC2" w:rsidP="00557DC2">
      <w:pPr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</w:pPr>
      <w:r w:rsidRPr="0033247F">
        <w:rPr>
          <w:rFonts w:ascii="Gotham Medium" w:eastAsia="Times New Roman" w:hAnsi="Gotham Medium" w:cs="Times New Roman"/>
          <w:b/>
          <w:color w:val="000000"/>
          <w:sz w:val="20"/>
          <w:u w:val="single"/>
          <w:shd w:val="clear" w:color="auto" w:fill="FFFFFF"/>
        </w:rPr>
        <w:t>Masaryk Grading System</w:t>
      </w:r>
    </w:p>
    <w:p w14:paraId="111D98D9" w14:textId="77777777" w:rsidR="00557DC2" w:rsidRPr="00B85399" w:rsidRDefault="00557DC2" w:rsidP="00557DC2">
      <w:pP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lastRenderedPageBreak/>
        <w:t>Courses at Masaryk use different grading scales de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pending on the type of course. 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>Not all courses are graded A-F.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When selecting your courses, take note of how each course will be graded (</w:t>
      </w:r>
      <w:r w:rsidR="00546C37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known as ‘Type of Completion’ and is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lis</w:t>
      </w:r>
      <w:r w:rsidR="007E3310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ted in the</w:t>
      </w:r>
      <w:r w:rsidR="00546C37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detailed course description in the course catalog)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The following table describes the different course designations and how they are graded:</w:t>
      </w:r>
    </w:p>
    <w:tbl>
      <w:tblPr>
        <w:tblStyle w:val="PlainTable1"/>
        <w:tblW w:w="6858" w:type="dxa"/>
        <w:tblLayout w:type="fixed"/>
        <w:tblLook w:val="04A0" w:firstRow="1" w:lastRow="0" w:firstColumn="1" w:lastColumn="0" w:noHBand="0" w:noVBand="1"/>
      </w:tblPr>
      <w:tblGrid>
        <w:gridCol w:w="4068"/>
        <w:gridCol w:w="2790"/>
      </w:tblGrid>
      <w:tr w:rsidR="00557DC2" w:rsidRPr="00B85399" w14:paraId="3F1D38E5" w14:textId="77777777" w:rsidTr="00B2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377D82D1" w14:textId="77777777" w:rsidR="00557DC2" w:rsidRPr="00B85399" w:rsidRDefault="00557DC2" w:rsidP="00114E85">
            <w:pPr>
              <w:jc w:val="center"/>
              <w:rPr>
                <w:rFonts w:ascii="Gotham Light" w:eastAsia="Calibri" w:hAnsi="Gotham Light"/>
                <w:sz w:val="20"/>
                <w:szCs w:val="20"/>
                <w:u w:val="single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  <w:u w:val="single"/>
              </w:rPr>
              <w:t>Type of Completion</w:t>
            </w:r>
          </w:p>
        </w:tc>
        <w:tc>
          <w:tcPr>
            <w:tcW w:w="2790" w:type="dxa"/>
            <w:noWrap/>
            <w:hideMark/>
          </w:tcPr>
          <w:p w14:paraId="6510586D" w14:textId="77777777" w:rsidR="00557DC2" w:rsidRPr="00B85399" w:rsidRDefault="00557DC2" w:rsidP="00114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  <w:u w:val="single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  <w:u w:val="single"/>
              </w:rPr>
              <w:t>Graded As</w:t>
            </w:r>
          </w:p>
        </w:tc>
      </w:tr>
      <w:tr w:rsidR="00557DC2" w:rsidRPr="00B85399" w14:paraId="1A538009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5F1C873A" w14:textId="77777777" w:rsidR="00557DC2" w:rsidRPr="00B85399" w:rsidRDefault="00557DC2" w:rsidP="00114E8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zk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- “</w:t>
            </w:r>
            <w:proofErr w:type="spellStart"/>
            <w:r w:rsidRPr="00B85399">
              <w:rPr>
                <w:rFonts w:ascii="Gotham Light" w:hAnsi="Gotham Light"/>
                <w:sz w:val="20"/>
                <w:szCs w:val="20"/>
              </w:rPr>
              <w:t>zkouška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>” (examination)</w:t>
            </w:r>
          </w:p>
        </w:tc>
        <w:tc>
          <w:tcPr>
            <w:tcW w:w="2790" w:type="dxa"/>
            <w:noWrap/>
            <w:hideMark/>
          </w:tcPr>
          <w:p w14:paraId="647C9455" w14:textId="77777777" w:rsidR="00557DC2" w:rsidRPr="00B85399" w:rsidRDefault="00557DC2" w:rsidP="00114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Letter grade – A, B, C, D, E, F</w:t>
            </w:r>
          </w:p>
        </w:tc>
      </w:tr>
      <w:tr w:rsidR="00557DC2" w:rsidRPr="00B85399" w14:paraId="48C9C62C" w14:textId="77777777" w:rsidTr="00B2532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063961D" w14:textId="77777777" w:rsidR="00557DC2" w:rsidRPr="00B85399" w:rsidRDefault="00557DC2" w:rsidP="00114E85">
            <w:pPr>
              <w:pStyle w:val="Default"/>
              <w:jc w:val="center"/>
              <w:rPr>
                <w:rFonts w:ascii="Gotham Light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kz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– “</w:t>
            </w:r>
            <w:proofErr w:type="spellStart"/>
            <w:r w:rsidRPr="00B85399">
              <w:rPr>
                <w:rFonts w:ascii="Gotham Light" w:hAnsi="Gotham Light"/>
                <w:sz w:val="20"/>
                <w:szCs w:val="20"/>
              </w:rPr>
              <w:t>klasifikovaný</w:t>
            </w:r>
            <w:proofErr w:type="spellEnd"/>
            <w:r w:rsidRPr="00B85399">
              <w:rPr>
                <w:rFonts w:ascii="Gotham Light" w:hAnsi="Gotham Light"/>
                <w:sz w:val="20"/>
                <w:szCs w:val="20"/>
              </w:rPr>
              <w:t xml:space="preserve"> </w:t>
            </w:r>
            <w:proofErr w:type="spellStart"/>
            <w:r w:rsidRPr="00B85399">
              <w:rPr>
                <w:rFonts w:ascii="Gotham Light" w:hAnsi="Gotham Light"/>
                <w:sz w:val="20"/>
                <w:szCs w:val="20"/>
              </w:rPr>
              <w:t>zápočet</w:t>
            </w:r>
            <w:proofErr w:type="spellEnd"/>
            <w:r w:rsidRPr="00B85399">
              <w:rPr>
                <w:rFonts w:ascii="Gotham Light" w:hAnsi="Gotham Light"/>
                <w:sz w:val="20"/>
                <w:szCs w:val="20"/>
              </w:rPr>
              <w:t>” (graded credit)</w:t>
            </w:r>
          </w:p>
        </w:tc>
        <w:tc>
          <w:tcPr>
            <w:tcW w:w="2790" w:type="dxa"/>
            <w:noWrap/>
            <w:hideMark/>
          </w:tcPr>
          <w:p w14:paraId="57829CE4" w14:textId="77777777" w:rsidR="00557DC2" w:rsidRPr="00B85399" w:rsidRDefault="00557DC2" w:rsidP="00114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Letter grade – A, B, C, D, E, F</w:t>
            </w:r>
          </w:p>
        </w:tc>
      </w:tr>
      <w:tr w:rsidR="00557DC2" w:rsidRPr="00B85399" w14:paraId="27A23123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7FC45CAC" w14:textId="77777777" w:rsidR="00557DC2" w:rsidRPr="00B85399" w:rsidRDefault="00557DC2" w:rsidP="00114E85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k – “</w:t>
            </w: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kolokvium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>” (colloquium)</w:t>
            </w:r>
          </w:p>
        </w:tc>
        <w:tc>
          <w:tcPr>
            <w:tcW w:w="2790" w:type="dxa"/>
            <w:noWrap/>
            <w:hideMark/>
          </w:tcPr>
          <w:p w14:paraId="2B2438C2" w14:textId="77777777" w:rsidR="00557DC2" w:rsidRPr="00B85399" w:rsidRDefault="00557DC2" w:rsidP="00114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Pass/Fail</w:t>
            </w:r>
          </w:p>
        </w:tc>
      </w:tr>
      <w:tr w:rsidR="00557DC2" w:rsidRPr="00B85399" w14:paraId="302AA546" w14:textId="77777777" w:rsidTr="00B2532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443CA35" w14:textId="77777777" w:rsidR="00557DC2" w:rsidRPr="00B85399" w:rsidRDefault="00557DC2" w:rsidP="00114E8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z – “</w:t>
            </w:r>
            <w:proofErr w:type="spellStart"/>
            <w:r w:rsidRPr="00B85399">
              <w:rPr>
                <w:rFonts w:ascii="Gotham Light" w:hAnsi="Gotham Light"/>
                <w:sz w:val="20"/>
                <w:szCs w:val="20"/>
              </w:rPr>
              <w:t>zápočet</w:t>
            </w:r>
            <w:proofErr w:type="spellEnd"/>
            <w:r w:rsidRPr="00B85399">
              <w:rPr>
                <w:rFonts w:ascii="Gotham Light" w:hAnsi="Gotham Light"/>
                <w:sz w:val="20"/>
                <w:szCs w:val="20"/>
              </w:rPr>
              <w:t>” (credit)</w:t>
            </w:r>
          </w:p>
        </w:tc>
        <w:tc>
          <w:tcPr>
            <w:tcW w:w="2790" w:type="dxa"/>
            <w:noWrap/>
            <w:hideMark/>
          </w:tcPr>
          <w:p w14:paraId="07B11977" w14:textId="77777777" w:rsidR="00557DC2" w:rsidRPr="00B85399" w:rsidRDefault="00557DC2" w:rsidP="00114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Pass/Fail</w:t>
            </w:r>
          </w:p>
        </w:tc>
      </w:tr>
    </w:tbl>
    <w:p w14:paraId="6F134D5C" w14:textId="77777777" w:rsidR="004A486F" w:rsidRDefault="004A486F" w:rsidP="0033247F">
      <w:pPr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</w:pPr>
    </w:p>
    <w:p w14:paraId="528BC7F1" w14:textId="77777777" w:rsidR="0033247F" w:rsidRPr="00B85399" w:rsidRDefault="007E3310" w:rsidP="0033247F">
      <w:pP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>KU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 xml:space="preserve"> require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>s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 xml:space="preserve"> a letter grade for each course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>.</w:t>
      </w:r>
      <w:r w:rsidR="00557DC2" w:rsidRPr="00B85399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33247F" w:rsidRPr="0033247F">
        <w:rPr>
          <w:rFonts w:ascii="Gotham Light" w:eastAsia="Times New Roman" w:hAnsi="Gotham Light" w:cs="Times New Roman"/>
          <w:color w:val="000000"/>
          <w:sz w:val="20"/>
          <w:szCs w:val="20"/>
          <w:u w:val="single"/>
          <w:shd w:val="clear" w:color="auto" w:fill="FFFFFF"/>
        </w:rPr>
        <w:t>If you are taking a course that is graded Pass/Fail (see table above), make a request to the instructor to receive a letter grade for the course.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3247F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While they may not be able to post a letter grade to your Masaryk transcript, often the course instructor can email us a letter grade or other indication of y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our performance in the course. </w:t>
      </w:r>
      <w:r w:rsidR="0033247F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The email should be sent directly to </w:t>
      </w:r>
      <w:hyperlink r:id="rId8" w:history="1">
        <w:r w:rsidR="0033247F" w:rsidRPr="00B85399">
          <w:rPr>
            <w:rStyle w:val="Hyperlink"/>
            <w:rFonts w:ascii="Gotham Light" w:eastAsia="Times New Roman" w:hAnsi="Gotham Light" w:cs="Times New Roman"/>
            <w:sz w:val="20"/>
            <w:szCs w:val="20"/>
            <w:shd w:val="clear" w:color="auto" w:fill="FFFFFF"/>
          </w:rPr>
          <w:t>jmhunter@ku.edu</w:t>
        </w:r>
      </w:hyperlink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.</w:t>
      </w:r>
      <w:r w:rsidR="0033247F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If this is not possible, </w:t>
      </w:r>
      <w:r w:rsidR="0033247F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you must</w:t>
      </w:r>
      <w:r w:rsidR="0033247F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notify me that you have made this attempt. </w:t>
      </w:r>
    </w:p>
    <w:p w14:paraId="57825CC3" w14:textId="77777777" w:rsidR="00557DC2" w:rsidRPr="00B85399" w:rsidRDefault="0033247F" w:rsidP="008C5012">
      <w:pP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KU’s credit/no credit policy applies. M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ost KU students may elect to have one</w:t>
      </w:r>
      <w: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non-major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course per semester </w:t>
      </w:r>
      <w: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taken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 as </w:t>
      </w:r>
      <w: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CR/NC. Business courses are not approved for CR/NC and must all be taken for a grade. You must notify your study abroad coordinator in writing before 40% of the course is complete to take a course as CR/NC. </w:t>
      </w:r>
    </w:p>
    <w:p w14:paraId="3F2D9A7A" w14:textId="77777777" w:rsidR="007E3310" w:rsidRPr="00B85399" w:rsidRDefault="007E3310" w:rsidP="008C5012">
      <w:pPr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The ta</w:t>
      </w:r>
      <w:r w:rsidR="0088110D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ble below depicts how grades on your 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Masaryk University </w:t>
      </w:r>
      <w:r w:rsidR="0088110D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transcript </w:t>
      </w:r>
      <w:r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 xml:space="preserve">are </w:t>
      </w:r>
      <w:r w:rsidR="0088110D" w:rsidRPr="00B85399">
        <w:rPr>
          <w:rFonts w:ascii="Gotham Light" w:eastAsia="Times New Roman" w:hAnsi="Gotham Light" w:cs="Times New Roman"/>
          <w:color w:val="000000"/>
          <w:sz w:val="20"/>
          <w:szCs w:val="20"/>
          <w:shd w:val="clear" w:color="auto" w:fill="FFFFFF"/>
        </w:rPr>
        <w:t>converted to the KU grading scale:</w:t>
      </w:r>
    </w:p>
    <w:tbl>
      <w:tblPr>
        <w:tblStyle w:val="PlainTable1"/>
        <w:tblW w:w="7740" w:type="dxa"/>
        <w:tblLayout w:type="fixed"/>
        <w:tblLook w:val="04A0" w:firstRow="1" w:lastRow="0" w:firstColumn="1" w:lastColumn="0" w:noHBand="0" w:noVBand="1"/>
      </w:tblPr>
      <w:tblGrid>
        <w:gridCol w:w="4068"/>
        <w:gridCol w:w="1422"/>
        <w:gridCol w:w="2250"/>
      </w:tblGrid>
      <w:tr w:rsidR="00E11CB5" w:rsidRPr="00B85399" w14:paraId="62E7CC5A" w14:textId="77777777" w:rsidTr="00B2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76F5A798" w14:textId="40FA30E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i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  <w:u w:val="single"/>
              </w:rPr>
              <w:t>Masaryk Scale</w:t>
            </w:r>
          </w:p>
        </w:tc>
        <w:tc>
          <w:tcPr>
            <w:tcW w:w="1422" w:type="dxa"/>
          </w:tcPr>
          <w:p w14:paraId="492B6F20" w14:textId="77777777" w:rsidR="00E11CB5" w:rsidRPr="00B85399" w:rsidRDefault="00E11CB5" w:rsidP="00E11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i/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14:paraId="2252F0AC" w14:textId="2EA4AE84" w:rsidR="00E11CB5" w:rsidRPr="00B85399" w:rsidRDefault="00E11CB5" w:rsidP="00E11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i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  <w:u w:val="single"/>
              </w:rPr>
              <w:t>KU Scale</w:t>
            </w:r>
          </w:p>
        </w:tc>
      </w:tr>
      <w:tr w:rsidR="00E11CB5" w:rsidRPr="00B85399" w14:paraId="6C07B214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1A48DAA7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i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i/>
                <w:sz w:val="20"/>
                <w:szCs w:val="20"/>
              </w:rPr>
              <w:t>Grade Designation</w:t>
            </w:r>
          </w:p>
        </w:tc>
        <w:tc>
          <w:tcPr>
            <w:tcW w:w="1422" w:type="dxa"/>
          </w:tcPr>
          <w:p w14:paraId="77F8FA87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i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i/>
                <w:sz w:val="20"/>
                <w:szCs w:val="20"/>
              </w:rPr>
              <w:t>ECTS Grade</w:t>
            </w:r>
          </w:p>
        </w:tc>
        <w:tc>
          <w:tcPr>
            <w:tcW w:w="2250" w:type="dxa"/>
            <w:noWrap/>
          </w:tcPr>
          <w:p w14:paraId="25B00049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i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i/>
                <w:sz w:val="20"/>
                <w:szCs w:val="20"/>
              </w:rPr>
              <w:t>US Grade</w:t>
            </w:r>
          </w:p>
        </w:tc>
      </w:tr>
      <w:tr w:rsidR="00E11CB5" w:rsidRPr="00B85399" w14:paraId="079AA7E9" w14:textId="77777777" w:rsidTr="00B25329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7E47A6FE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V</w:t>
            </w:r>
            <w:r w:rsidRPr="00B85399">
              <w:rPr>
                <w:rFonts w:ascii="Gotham Light" w:hAnsi="Gotham Light"/>
                <w:sz w:val="20"/>
                <w:szCs w:val="20"/>
              </w:rPr>
              <w:t>ýborne</w:t>
            </w:r>
            <w:proofErr w:type="spellEnd"/>
            <w:r w:rsidRPr="00B85399">
              <w:rPr>
                <w:rFonts w:ascii="Gotham Light" w:hAnsi="Gotham Light"/>
                <w:sz w:val="20"/>
                <w:szCs w:val="20"/>
              </w:rPr>
              <w:t xml:space="preserve"> (Excellent)</w:t>
            </w:r>
          </w:p>
        </w:tc>
        <w:tc>
          <w:tcPr>
            <w:tcW w:w="1422" w:type="dxa"/>
          </w:tcPr>
          <w:p w14:paraId="1DDE56B0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A</w:t>
            </w:r>
          </w:p>
        </w:tc>
        <w:tc>
          <w:tcPr>
            <w:tcW w:w="2250" w:type="dxa"/>
            <w:noWrap/>
          </w:tcPr>
          <w:p w14:paraId="75B04D84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A</w:t>
            </w:r>
          </w:p>
        </w:tc>
      </w:tr>
      <w:tr w:rsidR="00E11CB5" w:rsidRPr="00B85399" w14:paraId="5F403568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532838EF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V</w:t>
            </w:r>
            <w:r w:rsidRPr="00B85399">
              <w:rPr>
                <w:rFonts w:ascii="Gotham Light" w:hAnsi="Gotham Light"/>
                <w:sz w:val="20"/>
                <w:szCs w:val="20"/>
              </w:rPr>
              <w:t>ýborne</w:t>
            </w:r>
            <w:proofErr w:type="spellEnd"/>
            <w:r w:rsidRPr="00B85399">
              <w:rPr>
                <w:rFonts w:ascii="Gotham Light" w:hAnsi="Gotham Light"/>
                <w:sz w:val="20"/>
                <w:szCs w:val="20"/>
              </w:rPr>
              <w:t xml:space="preserve"> (Excellent)</w:t>
            </w:r>
          </w:p>
        </w:tc>
        <w:tc>
          <w:tcPr>
            <w:tcW w:w="1422" w:type="dxa"/>
          </w:tcPr>
          <w:p w14:paraId="491D17DE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B</w:t>
            </w:r>
          </w:p>
        </w:tc>
        <w:tc>
          <w:tcPr>
            <w:tcW w:w="2250" w:type="dxa"/>
            <w:noWrap/>
          </w:tcPr>
          <w:p w14:paraId="7C2980D4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>
              <w:rPr>
                <w:rFonts w:ascii="Gotham Light" w:eastAsia="Calibri" w:hAnsi="Gotham Light"/>
                <w:sz w:val="20"/>
                <w:szCs w:val="20"/>
              </w:rPr>
              <w:t>B+</w:t>
            </w:r>
          </w:p>
        </w:tc>
      </w:tr>
      <w:tr w:rsidR="00E11CB5" w:rsidRPr="00B85399" w14:paraId="4C14D6A2" w14:textId="77777777" w:rsidTr="00B253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3D4DC24E" w14:textId="77777777" w:rsidR="00E11CB5" w:rsidRPr="00B85399" w:rsidRDefault="00E11CB5" w:rsidP="00E11CB5">
            <w:pPr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Vel’mi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</w:t>
            </w: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Dobre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(Very Good)</w:t>
            </w:r>
          </w:p>
        </w:tc>
        <w:tc>
          <w:tcPr>
            <w:tcW w:w="1422" w:type="dxa"/>
          </w:tcPr>
          <w:p w14:paraId="6B23F6E9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C</w:t>
            </w:r>
          </w:p>
        </w:tc>
        <w:tc>
          <w:tcPr>
            <w:tcW w:w="2250" w:type="dxa"/>
            <w:noWrap/>
          </w:tcPr>
          <w:p w14:paraId="5DC43AE9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B</w:t>
            </w:r>
          </w:p>
        </w:tc>
      </w:tr>
      <w:tr w:rsidR="00E11CB5" w:rsidRPr="00B85399" w14:paraId="5A64FCAB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567AE476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Vel’mi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</w:t>
            </w: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Dobre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(Very Good)</w:t>
            </w:r>
          </w:p>
        </w:tc>
        <w:tc>
          <w:tcPr>
            <w:tcW w:w="1422" w:type="dxa"/>
          </w:tcPr>
          <w:p w14:paraId="439B5404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D</w:t>
            </w:r>
          </w:p>
        </w:tc>
        <w:tc>
          <w:tcPr>
            <w:tcW w:w="2250" w:type="dxa"/>
            <w:noWrap/>
          </w:tcPr>
          <w:p w14:paraId="38F2EC6E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>
              <w:rPr>
                <w:rFonts w:ascii="Gotham Light" w:eastAsia="Calibri" w:hAnsi="Gotham Light"/>
                <w:sz w:val="20"/>
                <w:szCs w:val="20"/>
              </w:rPr>
              <w:t>C+</w:t>
            </w:r>
          </w:p>
        </w:tc>
      </w:tr>
      <w:tr w:rsidR="00E11CB5" w:rsidRPr="00B85399" w14:paraId="21F6F3E1" w14:textId="77777777" w:rsidTr="00B2532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6F3E1B9D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Dobre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(Good)</w:t>
            </w:r>
          </w:p>
        </w:tc>
        <w:tc>
          <w:tcPr>
            <w:tcW w:w="1422" w:type="dxa"/>
          </w:tcPr>
          <w:p w14:paraId="3CB63AAA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E</w:t>
            </w:r>
          </w:p>
        </w:tc>
        <w:tc>
          <w:tcPr>
            <w:tcW w:w="2250" w:type="dxa"/>
            <w:noWrap/>
          </w:tcPr>
          <w:p w14:paraId="35F56380" w14:textId="77777777" w:rsidR="00E11CB5" w:rsidRPr="00B85399" w:rsidRDefault="00E11CB5" w:rsidP="00E11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C</w:t>
            </w:r>
          </w:p>
        </w:tc>
      </w:tr>
      <w:tr w:rsidR="00E11CB5" w:rsidRPr="00B85399" w14:paraId="03F60E46" w14:textId="77777777" w:rsidTr="00B2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19F6B211" w14:textId="77777777" w:rsidR="00E11CB5" w:rsidRPr="00B85399" w:rsidRDefault="00E11CB5" w:rsidP="00E11CB5">
            <w:pPr>
              <w:pStyle w:val="Default"/>
              <w:jc w:val="center"/>
              <w:rPr>
                <w:rFonts w:ascii="Gotham Light" w:eastAsia="Calibri" w:hAnsi="Gotham Light"/>
                <w:sz w:val="20"/>
                <w:szCs w:val="20"/>
              </w:rPr>
            </w:pPr>
            <w:proofErr w:type="spellStart"/>
            <w:r w:rsidRPr="00B85399">
              <w:rPr>
                <w:rFonts w:ascii="Gotham Light" w:eastAsia="Calibri" w:hAnsi="Gotham Light"/>
                <w:sz w:val="20"/>
                <w:szCs w:val="20"/>
              </w:rPr>
              <w:t>Novyhovél</w:t>
            </w:r>
            <w:proofErr w:type="spellEnd"/>
            <w:r w:rsidRPr="00B85399">
              <w:rPr>
                <w:rFonts w:ascii="Gotham Light" w:eastAsia="Calibri" w:hAnsi="Gotham Light"/>
                <w:sz w:val="20"/>
                <w:szCs w:val="20"/>
              </w:rPr>
              <w:t xml:space="preserve"> (Fail)</w:t>
            </w:r>
          </w:p>
        </w:tc>
        <w:tc>
          <w:tcPr>
            <w:tcW w:w="1422" w:type="dxa"/>
          </w:tcPr>
          <w:p w14:paraId="2819F9EA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F</w:t>
            </w:r>
          </w:p>
        </w:tc>
        <w:tc>
          <w:tcPr>
            <w:tcW w:w="2250" w:type="dxa"/>
            <w:noWrap/>
          </w:tcPr>
          <w:p w14:paraId="07954148" w14:textId="77777777" w:rsidR="00E11CB5" w:rsidRPr="00B85399" w:rsidRDefault="00E11CB5" w:rsidP="00E11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eastAsia="Calibri" w:hAnsi="Gotham Light"/>
                <w:sz w:val="20"/>
                <w:szCs w:val="20"/>
              </w:rPr>
            </w:pPr>
            <w:r w:rsidRPr="00B85399">
              <w:rPr>
                <w:rFonts w:ascii="Gotham Light" w:eastAsia="Calibri" w:hAnsi="Gotham Light"/>
                <w:sz w:val="20"/>
                <w:szCs w:val="20"/>
              </w:rPr>
              <w:t>F</w:t>
            </w:r>
          </w:p>
        </w:tc>
      </w:tr>
    </w:tbl>
    <w:p w14:paraId="118E3FDE" w14:textId="77777777" w:rsidR="004A486F" w:rsidRDefault="004A486F" w:rsidP="00C834C2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1934D01D" w14:textId="77777777" w:rsidR="008C5012" w:rsidRPr="006B2F17" w:rsidRDefault="008C5012" w:rsidP="00C834C2">
      <w:pPr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</w:pPr>
      <w:r w:rsidRPr="006B2F17">
        <w:rPr>
          <w:rFonts w:ascii="Gotham Medium" w:eastAsia="Times New Roman" w:hAnsi="Gotham Medium" w:cs="Times New Roman"/>
          <w:b/>
          <w:color w:val="000000"/>
          <w:sz w:val="24"/>
          <w:shd w:val="clear" w:color="auto" w:fill="FFFFFF"/>
        </w:rPr>
        <w:t>HELPFUL LINKS</w:t>
      </w:r>
    </w:p>
    <w:p w14:paraId="1A209F4F" w14:textId="77777777" w:rsidR="00E24020" w:rsidRPr="00B85399" w:rsidRDefault="0088110D" w:rsidP="003F57AE">
      <w:pPr>
        <w:pStyle w:val="ListParagraph"/>
        <w:numPr>
          <w:ilvl w:val="0"/>
          <w:numId w:val="10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Detailed information on </w:t>
      </w:r>
      <w:hyperlink r:id="rId9" w:history="1">
        <w:r w:rsidRPr="004016F9">
          <w:rPr>
            <w:rStyle w:val="Hyperlink"/>
            <w:rFonts w:ascii="Gotham Light" w:eastAsia="Times New Roman" w:hAnsi="Gotham Light" w:cs="Times New Roman"/>
            <w:sz w:val="20"/>
            <w:shd w:val="clear" w:color="auto" w:fill="FFFFFF"/>
          </w:rPr>
          <w:t>Masaryk University’s grading and credit system</w:t>
        </w:r>
      </w:hyperlink>
    </w:p>
    <w:p w14:paraId="708C6B12" w14:textId="77777777" w:rsidR="00E24020" w:rsidRPr="00B85399" w:rsidRDefault="00094F8A" w:rsidP="003F57AE">
      <w:pPr>
        <w:pStyle w:val="ListParagraph"/>
        <w:numPr>
          <w:ilvl w:val="0"/>
          <w:numId w:val="10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hyperlink r:id="rId10" w:history="1">
        <w:r w:rsidR="0088110D" w:rsidRPr="00B85399">
          <w:rPr>
            <w:rStyle w:val="Hyperlink"/>
            <w:rFonts w:ascii="Gotham Light" w:eastAsia="Times New Roman" w:hAnsi="Gotham Light" w:cs="Times New Roman"/>
            <w:sz w:val="20"/>
            <w:shd w:val="clear" w:color="auto" w:fill="FFFFFF"/>
          </w:rPr>
          <w:t>KU’s Credit/No Credit Policy</w:t>
        </w:r>
      </w:hyperlink>
    </w:p>
    <w:p w14:paraId="55F4756B" w14:textId="77777777" w:rsidR="0088110D" w:rsidRPr="00B85399" w:rsidRDefault="004016F9" w:rsidP="003F57AE">
      <w:pPr>
        <w:pStyle w:val="ListParagraph"/>
        <w:numPr>
          <w:ilvl w:val="0"/>
          <w:numId w:val="10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KU </w:t>
      </w:r>
      <w:r w:rsidR="00A048C1"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Study Abroad </w:t>
      </w:r>
      <w:hyperlink r:id="rId11" w:history="1">
        <w:r w:rsidR="00A048C1" w:rsidRPr="00B85399">
          <w:rPr>
            <w:rStyle w:val="Hyperlink"/>
            <w:rFonts w:ascii="Gotham Light" w:eastAsia="Times New Roman" w:hAnsi="Gotham Light" w:cs="Times New Roman"/>
            <w:sz w:val="20"/>
            <w:shd w:val="clear" w:color="auto" w:fill="FFFFFF"/>
          </w:rPr>
          <w:t>Academic Plan and Approval Form</w:t>
        </w:r>
      </w:hyperlink>
    </w:p>
    <w:p w14:paraId="1E4968A8" w14:textId="77777777" w:rsidR="0038678C" w:rsidRPr="00B85399" w:rsidRDefault="00A048C1" w:rsidP="003F57AE">
      <w:pPr>
        <w:pStyle w:val="ListParagraph"/>
        <w:numPr>
          <w:ilvl w:val="0"/>
          <w:numId w:val="10"/>
        </w:numPr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</w:pPr>
      <w:r w:rsidRPr="00B85399">
        <w:rPr>
          <w:rFonts w:ascii="Gotham Light" w:eastAsia="Times New Roman" w:hAnsi="Gotham Light" w:cs="Times New Roman"/>
          <w:color w:val="000000"/>
          <w:sz w:val="20"/>
          <w:shd w:val="clear" w:color="auto" w:fill="FFFFFF"/>
        </w:rPr>
        <w:t xml:space="preserve">List of </w:t>
      </w:r>
      <w:hyperlink r:id="rId12" w:history="1">
        <w:r w:rsidRPr="00B85399">
          <w:rPr>
            <w:rStyle w:val="Hyperlink"/>
            <w:rFonts w:ascii="Gotham Light" w:eastAsia="Times New Roman" w:hAnsi="Gotham Light" w:cs="Times New Roman"/>
            <w:sz w:val="20"/>
            <w:shd w:val="clear" w:color="auto" w:fill="FFFFFF"/>
          </w:rPr>
          <w:t>KU Faculty and Departmental Study Abroad Advisors</w:t>
        </w:r>
      </w:hyperlink>
    </w:p>
    <w:sectPr w:rsidR="0038678C" w:rsidRPr="00B85399" w:rsidSect="008C50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E2E"/>
    <w:multiLevelType w:val="hybridMultilevel"/>
    <w:tmpl w:val="9E14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55C"/>
    <w:multiLevelType w:val="hybridMultilevel"/>
    <w:tmpl w:val="97368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AEC"/>
    <w:multiLevelType w:val="hybridMultilevel"/>
    <w:tmpl w:val="723A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4EA4"/>
    <w:multiLevelType w:val="hybridMultilevel"/>
    <w:tmpl w:val="8E78F38E"/>
    <w:lvl w:ilvl="0" w:tplc="5842711C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97F05"/>
    <w:multiLevelType w:val="hybridMultilevel"/>
    <w:tmpl w:val="71D46ED8"/>
    <w:lvl w:ilvl="0" w:tplc="5842711C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04D25"/>
    <w:multiLevelType w:val="hybridMultilevel"/>
    <w:tmpl w:val="8D244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650A8"/>
    <w:multiLevelType w:val="hybridMultilevel"/>
    <w:tmpl w:val="062C1B7C"/>
    <w:lvl w:ilvl="0" w:tplc="5842711C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6165"/>
    <w:multiLevelType w:val="hybridMultilevel"/>
    <w:tmpl w:val="7C16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31EDB"/>
    <w:multiLevelType w:val="hybridMultilevel"/>
    <w:tmpl w:val="DE34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4D0"/>
    <w:multiLevelType w:val="hybridMultilevel"/>
    <w:tmpl w:val="82E046C8"/>
    <w:lvl w:ilvl="0" w:tplc="9C120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0A"/>
    <w:rsid w:val="00031905"/>
    <w:rsid w:val="00054665"/>
    <w:rsid w:val="000A4829"/>
    <w:rsid w:val="000F0938"/>
    <w:rsid w:val="001126DC"/>
    <w:rsid w:val="00121700"/>
    <w:rsid w:val="001445AC"/>
    <w:rsid w:val="00170526"/>
    <w:rsid w:val="001A6990"/>
    <w:rsid w:val="001E5DDA"/>
    <w:rsid w:val="002B29C8"/>
    <w:rsid w:val="0033247F"/>
    <w:rsid w:val="003847A7"/>
    <w:rsid w:val="0038678C"/>
    <w:rsid w:val="003C4066"/>
    <w:rsid w:val="003F2FC5"/>
    <w:rsid w:val="003F57AE"/>
    <w:rsid w:val="004016F9"/>
    <w:rsid w:val="00416AAA"/>
    <w:rsid w:val="0047757C"/>
    <w:rsid w:val="00477628"/>
    <w:rsid w:val="004A2DCD"/>
    <w:rsid w:val="004A486F"/>
    <w:rsid w:val="00513EA4"/>
    <w:rsid w:val="00514A23"/>
    <w:rsid w:val="00546C37"/>
    <w:rsid w:val="00557DC2"/>
    <w:rsid w:val="005F7E53"/>
    <w:rsid w:val="006016F2"/>
    <w:rsid w:val="00626EFD"/>
    <w:rsid w:val="006B2F17"/>
    <w:rsid w:val="006B75F7"/>
    <w:rsid w:val="0073612D"/>
    <w:rsid w:val="007821F5"/>
    <w:rsid w:val="007E3310"/>
    <w:rsid w:val="00844483"/>
    <w:rsid w:val="0088110D"/>
    <w:rsid w:val="008A00F6"/>
    <w:rsid w:val="008C5012"/>
    <w:rsid w:val="0091620A"/>
    <w:rsid w:val="009348D6"/>
    <w:rsid w:val="00940607"/>
    <w:rsid w:val="00945AC0"/>
    <w:rsid w:val="009D431A"/>
    <w:rsid w:val="009D5985"/>
    <w:rsid w:val="00A048C1"/>
    <w:rsid w:val="00A51D68"/>
    <w:rsid w:val="00A72731"/>
    <w:rsid w:val="00AD7F90"/>
    <w:rsid w:val="00B25329"/>
    <w:rsid w:val="00B85399"/>
    <w:rsid w:val="00C00F44"/>
    <w:rsid w:val="00C834C2"/>
    <w:rsid w:val="00CC422E"/>
    <w:rsid w:val="00D578BB"/>
    <w:rsid w:val="00D7635C"/>
    <w:rsid w:val="00E11CB5"/>
    <w:rsid w:val="00E24020"/>
    <w:rsid w:val="00E3481F"/>
    <w:rsid w:val="00E636EA"/>
    <w:rsid w:val="00F02631"/>
    <w:rsid w:val="00F27ACE"/>
    <w:rsid w:val="00F42D96"/>
    <w:rsid w:val="00F55BA9"/>
    <w:rsid w:val="00FE27D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818F"/>
  <w15:chartTrackingRefBased/>
  <w15:docId w15:val="{D87C8EE2-4036-4D36-9CCF-9BD28B33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162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20A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162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162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2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9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5AC"/>
    <w:rPr>
      <w:color w:val="954F72" w:themeColor="followedHyperlink"/>
      <w:u w:val="single"/>
    </w:rPr>
  </w:style>
  <w:style w:type="paragraph" w:customStyle="1" w:styleId="Default">
    <w:name w:val="Default"/>
    <w:rsid w:val="00E6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678C"/>
    <w:rPr>
      <w:color w:val="808080"/>
    </w:rPr>
  </w:style>
  <w:style w:type="table" w:styleId="TableGrid">
    <w:name w:val="Table Grid"/>
    <w:basedOn w:val="TableNormal"/>
    <w:uiPriority w:val="39"/>
    <w:rsid w:val="0038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F5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B253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unter@k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hunter@ku.edu" TargetMode="External"/><Relationship Id="rId12" Type="http://schemas.openxmlformats.org/officeDocument/2006/relationships/hyperlink" Target="https://ku.studioabroad.com/_customtags/ct_FileRetrieve.cfm?File_ID=000371487A737102060405771A00077301140301730A1C0076070975017170050E74060074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abroad.ku.edu/course-equivalencies" TargetMode="External"/><Relationship Id="rId11" Type="http://schemas.openxmlformats.org/officeDocument/2006/relationships/hyperlink" Target="https://ku.studioabroad.com/_customtags/ct_FileRetrieve.cfm?File_ID=290" TargetMode="External"/><Relationship Id="rId5" Type="http://schemas.openxmlformats.org/officeDocument/2006/relationships/hyperlink" Target="http://cic.muni.cz/en/left-incoming-mobility/incoming-student/courses-for-international-students" TargetMode="External"/><Relationship Id="rId10" Type="http://schemas.openxmlformats.org/officeDocument/2006/relationships/hyperlink" Target="http://registrar.ku.edu/creditno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s.muni.cz/en/student-from-abroad/international-student-guide/grading-system-and-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Hunter-Skidmore, Jenna</dc:creator>
  <cp:keywords/>
  <dc:description/>
  <cp:lastModifiedBy>Langdon, Jackie</cp:lastModifiedBy>
  <cp:revision>2</cp:revision>
  <cp:lastPrinted>2019-01-03T19:41:00Z</cp:lastPrinted>
  <dcterms:created xsi:type="dcterms:W3CDTF">2021-12-14T17:26:00Z</dcterms:created>
  <dcterms:modified xsi:type="dcterms:W3CDTF">2021-12-14T17:26:00Z</dcterms:modified>
</cp:coreProperties>
</file>